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8CEF3">
      <w:pPr>
        <w:spacing w:line="560" w:lineRule="exact"/>
        <w:jc w:val="center"/>
        <w:rPr>
          <w:rFonts w:hint="eastAsia" w:ascii="宋体" w:hAnsi="宋体" w:eastAsia="宋体"/>
          <w:b/>
          <w:sz w:val="44"/>
          <w:szCs w:val="44"/>
          <w:highlight w:val="none"/>
          <w:lang w:eastAsia="zh-CN"/>
        </w:rPr>
      </w:pPr>
      <w:bookmarkStart w:id="0" w:name="_GoBack"/>
      <w:bookmarkEnd w:id="0"/>
      <w:r>
        <w:rPr>
          <w:rFonts w:hint="eastAsia" w:ascii="宋体" w:hAnsi="宋体"/>
          <w:b/>
          <w:sz w:val="44"/>
          <w:szCs w:val="44"/>
          <w:highlight w:val="none"/>
          <w:lang w:eastAsia="zh-CN"/>
        </w:rPr>
        <w:t>绥芬河市人民政府</w:t>
      </w:r>
      <w:r>
        <w:rPr>
          <w:rFonts w:hint="eastAsia" w:ascii="宋体" w:hAnsi="宋体" w:eastAsia="宋体"/>
          <w:b/>
          <w:sz w:val="44"/>
          <w:szCs w:val="44"/>
          <w:highlight w:val="none"/>
          <w:lang w:eastAsia="zh-CN"/>
        </w:rPr>
        <w:t>办公室</w:t>
      </w:r>
    </w:p>
    <w:p w14:paraId="37EDCBBD">
      <w:pPr>
        <w:widowControl/>
        <w:spacing w:line="580" w:lineRule="atLeast"/>
        <w:ind w:left="2650" w:hanging="2650" w:hangingChars="600"/>
        <w:jc w:val="center"/>
        <w:rPr>
          <w:rFonts w:hint="eastAsia" w:ascii="宋体" w:hAnsi="宋体" w:eastAsia="宋体" w:cs="宋体"/>
          <w:b/>
          <w:bCs/>
          <w:color w:val="222222"/>
          <w:kern w:val="0"/>
          <w:sz w:val="44"/>
          <w:szCs w:val="44"/>
        </w:rPr>
      </w:pPr>
      <w:r>
        <w:rPr>
          <w:rFonts w:hint="eastAsia" w:ascii="宋体" w:hAnsi="宋体" w:cs="宋体"/>
          <w:b/>
          <w:bCs/>
          <w:color w:val="222222"/>
          <w:kern w:val="0"/>
          <w:sz w:val="44"/>
          <w:szCs w:val="44"/>
          <w:lang w:val="en-US" w:eastAsia="zh-CN"/>
        </w:rPr>
        <w:t>2019</w:t>
      </w:r>
      <w:r>
        <w:rPr>
          <w:rFonts w:hint="eastAsia" w:ascii="宋体" w:hAnsi="宋体" w:eastAsia="宋体" w:cs="宋体"/>
          <w:b/>
          <w:bCs/>
          <w:color w:val="222222"/>
          <w:kern w:val="0"/>
          <w:sz w:val="44"/>
          <w:szCs w:val="44"/>
        </w:rPr>
        <w:t>年部门</w:t>
      </w:r>
      <w:r>
        <w:rPr>
          <w:rFonts w:hint="eastAsia" w:ascii="宋体" w:hAnsi="宋体" w:cs="宋体"/>
          <w:b/>
          <w:bCs/>
          <w:color w:val="222222"/>
          <w:kern w:val="0"/>
          <w:sz w:val="44"/>
          <w:szCs w:val="44"/>
          <w:lang w:val="en-US" w:eastAsia="zh-CN"/>
        </w:rPr>
        <w:t>项目</w:t>
      </w:r>
      <w:r>
        <w:rPr>
          <w:rFonts w:hint="eastAsia" w:ascii="宋体" w:hAnsi="宋体" w:eastAsia="宋体" w:cs="宋体"/>
          <w:b/>
          <w:bCs/>
          <w:color w:val="222222"/>
          <w:kern w:val="0"/>
          <w:sz w:val="44"/>
          <w:szCs w:val="44"/>
        </w:rPr>
        <w:t>支出绩效评价报告</w:t>
      </w:r>
    </w:p>
    <w:p w14:paraId="7AA8CA64">
      <w:pPr>
        <w:spacing w:line="560" w:lineRule="exact"/>
        <w:jc w:val="both"/>
        <w:rPr>
          <w:rFonts w:ascii="仿宋_GB2312"/>
          <w:szCs w:val="32"/>
        </w:rPr>
      </w:pPr>
    </w:p>
    <w:p w14:paraId="55419AA0">
      <w:pPr>
        <w:keepNext w:val="0"/>
        <w:keepLines w:val="0"/>
        <w:pageBreakBefore w:val="0"/>
        <w:widowControl/>
        <w:kinsoku/>
        <w:wordWrap/>
        <w:overflowPunct/>
        <w:topLinePunct w:val="0"/>
        <w:autoSpaceDE/>
        <w:autoSpaceDN/>
        <w:bidi w:val="0"/>
        <w:adjustRightInd/>
        <w:snapToGrid/>
        <w:spacing w:line="600" w:lineRule="exact"/>
        <w:ind w:right="0" w:rightChars="0"/>
        <w:jc w:val="left"/>
        <w:outlineLvl w:val="9"/>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市财政局：</w:t>
      </w:r>
    </w:p>
    <w:p w14:paraId="0E706979">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outlineLvl w:val="9"/>
        <w:rPr>
          <w:rFonts w:hint="eastAsia" w:ascii="黑体" w:hAnsi="黑体" w:eastAsia="黑体" w:cs="黑体"/>
          <w:color w:val="222222"/>
          <w:kern w:val="0"/>
          <w:sz w:val="32"/>
          <w:szCs w:val="32"/>
        </w:rPr>
      </w:pPr>
      <w:r>
        <w:rPr>
          <w:rFonts w:hint="eastAsia" w:ascii="仿宋" w:hAnsi="仿宋" w:eastAsia="仿宋" w:cs="仿宋"/>
          <w:color w:val="222222"/>
          <w:kern w:val="0"/>
          <w:sz w:val="32"/>
          <w:szCs w:val="32"/>
        </w:rPr>
        <w:t>按照市财政</w:t>
      </w:r>
      <w:r>
        <w:rPr>
          <w:rFonts w:hint="eastAsia" w:ascii="仿宋" w:hAnsi="仿宋" w:eastAsia="仿宋" w:cs="仿宋"/>
          <w:color w:val="222222"/>
          <w:kern w:val="0"/>
          <w:sz w:val="32"/>
          <w:szCs w:val="32"/>
          <w:lang w:eastAsia="zh-CN"/>
        </w:rPr>
        <w:t>局</w:t>
      </w:r>
      <w:r>
        <w:rPr>
          <w:rFonts w:hint="eastAsia" w:ascii="仿宋" w:hAnsi="仿宋" w:eastAsia="仿宋" w:cs="仿宋"/>
          <w:color w:val="222222"/>
          <w:kern w:val="0"/>
          <w:sz w:val="32"/>
          <w:szCs w:val="32"/>
        </w:rPr>
        <w:t>关于预算绩效评价的有关要求，现将我单位部门整体支出绩效评价情况报告如下：</w:t>
      </w:r>
    </w:p>
    <w:p w14:paraId="48377976">
      <w:pPr>
        <w:keepNext w:val="0"/>
        <w:keepLines w:val="0"/>
        <w:pageBreakBefore w:val="0"/>
        <w:widowControl/>
        <w:numPr>
          <w:ilvl w:val="0"/>
          <w:numId w:val="0"/>
        </w:numPr>
        <w:kinsoku/>
        <w:wordWrap/>
        <w:overflowPunct/>
        <w:topLinePunct w:val="0"/>
        <w:autoSpaceDE/>
        <w:autoSpaceDN/>
        <w:bidi w:val="0"/>
        <w:adjustRightInd/>
        <w:snapToGrid/>
        <w:spacing w:line="600" w:lineRule="exact"/>
        <w:ind w:left="640" w:leftChars="0" w:right="0" w:rightChars="0"/>
        <w:outlineLvl w:val="9"/>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lang w:val="en-US" w:eastAsia="zh-CN"/>
        </w:rPr>
        <w:t>一、</w:t>
      </w:r>
      <w:r>
        <w:rPr>
          <w:rFonts w:hint="eastAsia" w:ascii="黑体" w:hAnsi="黑体" w:eastAsia="黑体" w:cs="黑体"/>
          <w:color w:val="222222"/>
          <w:kern w:val="0"/>
          <w:sz w:val="32"/>
          <w:szCs w:val="32"/>
        </w:rPr>
        <w:t>基本情况</w:t>
      </w:r>
    </w:p>
    <w:p w14:paraId="3B9184CD">
      <w:pPr>
        <w:snapToGrid w:val="0"/>
        <w:spacing w:line="520" w:lineRule="exact"/>
        <w:ind w:firstLine="640" w:firstLineChars="200"/>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我单位编制数45人在职人数35人。</w:t>
      </w:r>
    </w:p>
    <w:p w14:paraId="782238AB">
      <w:pPr>
        <w:snapToGrid w:val="0"/>
        <w:spacing w:line="520" w:lineRule="exact"/>
        <w:ind w:firstLine="640" w:firstLineChars="200"/>
        <w:rPr>
          <w:rFonts w:hint="eastAsia" w:ascii="仿宋_GB2312" w:hAnsi="黑体" w:eastAsia="仿宋_GB2312"/>
          <w:bCs/>
          <w:sz w:val="32"/>
          <w:szCs w:val="32"/>
          <w:lang w:eastAsia="zh-CN"/>
        </w:rPr>
      </w:pPr>
      <w:r>
        <w:rPr>
          <w:rFonts w:hint="eastAsia" w:ascii="仿宋_GB2312" w:hAnsi="黑体" w:eastAsia="仿宋_GB2312"/>
          <w:bCs/>
          <w:sz w:val="32"/>
          <w:szCs w:val="32"/>
          <w:lang w:eastAsia="zh-CN"/>
        </w:rPr>
        <w:t>绥芬河市人民政府办公室主要职责：</w:t>
      </w:r>
    </w:p>
    <w:p w14:paraId="1E102752">
      <w:pPr>
        <w:numPr>
          <w:ilvl w:val="0"/>
          <w:numId w:val="1"/>
        </w:num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负责市政府会议的会务工作，协助市政府领导同志组织实施会议决定事项。负责市政府领导同志重要活动的组织安排</w:t>
      </w:r>
      <w:r>
        <w:rPr>
          <w:rFonts w:hint="eastAsia" w:ascii="仿宋_GB2312" w:hAnsi="仿宋" w:eastAsia="仿宋_GB2312"/>
          <w:sz w:val="32"/>
          <w:szCs w:val="32"/>
          <w:lang w:eastAsia="zh-CN"/>
        </w:rPr>
        <w:t>。</w:t>
      </w:r>
    </w:p>
    <w:p w14:paraId="6CA3ADBC">
      <w:pPr>
        <w:numPr>
          <w:ilvl w:val="0"/>
          <w:numId w:val="1"/>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负责市政府和市政府办公室的公文处理工作，配合市委办公室对以市委、市政府和市委办公室、市政府办公室名义联合发布的公文进行审核，草拟、审核以市政府和市政府办公室名义发布的公文，指导全市政府机关公文处理工作。</w:t>
      </w:r>
    </w:p>
    <w:p w14:paraId="3B110B60">
      <w:pPr>
        <w:numPr>
          <w:ilvl w:val="0"/>
          <w:numId w:val="1"/>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配合市委办公室对以市委、市政府和市委办公室、市政府办公室名义联合发布的规范性文件进行合法性审核，负责对以市政府和市政府办公室名义发布的规范性文件进行合法性审核。</w:t>
      </w:r>
    </w:p>
    <w:p w14:paraId="241D35AE">
      <w:pPr>
        <w:snapToGrid w:val="0"/>
        <w:spacing w:line="520" w:lineRule="exact"/>
        <w:ind w:firstLine="640" w:firstLineChars="200"/>
        <w:rPr>
          <w:rFonts w:hint="eastAsia" w:ascii="仿宋_GB2312" w:hAnsi="仿宋" w:eastAsia="仿宋_GB2312"/>
          <w:sz w:val="32"/>
          <w:szCs w:val="32"/>
        </w:rPr>
      </w:pP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4</w:t>
      </w:r>
      <w:r>
        <w:rPr>
          <w:rFonts w:hint="eastAsia" w:ascii="仿宋_GB2312" w:hAnsi="黑体" w:eastAsia="仿宋_GB2312"/>
          <w:bCs/>
          <w:sz w:val="32"/>
          <w:szCs w:val="32"/>
          <w:lang w:eastAsia="zh-CN"/>
        </w:rPr>
        <w:t>）</w:t>
      </w:r>
      <w:r>
        <w:rPr>
          <w:rFonts w:hint="eastAsia" w:ascii="仿宋_GB2312" w:hAnsi="仿宋" w:eastAsia="仿宋_GB2312"/>
          <w:sz w:val="32"/>
          <w:szCs w:val="32"/>
        </w:rPr>
        <w:t>负责研究市政府工作部门及有关单位请示市政府的事项并提出审核意见、报市政府领导同志审批。根据市政府领导同志要求，对需要研究落实事项进行协调并提出处理意见，报市政府领导同志决定。</w:t>
      </w:r>
    </w:p>
    <w:p w14:paraId="574A7C6A">
      <w:pPr>
        <w:snapToGrid w:val="0"/>
        <w:spacing w:line="520" w:lineRule="exact"/>
        <w:ind w:firstLine="640" w:firstLineChars="200"/>
        <w:rPr>
          <w:rFonts w:hint="eastAsia" w:ascii="仿宋_GB2312" w:hAnsi="仿宋" w:eastAsia="仿宋_GB2312"/>
          <w:sz w:val="32"/>
          <w:szCs w:val="32"/>
        </w:rPr>
      </w:pP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5</w:t>
      </w:r>
      <w:r>
        <w:rPr>
          <w:rFonts w:hint="eastAsia" w:ascii="仿宋_GB2312" w:hAnsi="黑体" w:eastAsia="仿宋_GB2312"/>
          <w:bCs/>
          <w:sz w:val="32"/>
          <w:szCs w:val="32"/>
          <w:lang w:eastAsia="zh-CN"/>
        </w:rPr>
        <w:t>）</w:t>
      </w:r>
      <w:r>
        <w:rPr>
          <w:rFonts w:hint="eastAsia" w:ascii="仿宋_GB2312" w:hAnsi="仿宋" w:eastAsia="仿宋_GB2312"/>
          <w:sz w:val="32"/>
          <w:szCs w:val="32"/>
        </w:rPr>
        <w:t>负责对党中央、国务院、省委、省政府、牡丹江市委市政府和市委明确由市政府落实的工作、市政府重点工作、市政府领导同志要求的贯彻执行情况进行督促检査、综合反馈等工作.</w:t>
      </w:r>
    </w:p>
    <w:p w14:paraId="57A5CF15">
      <w:pPr>
        <w:snapToGrid w:val="0"/>
        <w:spacing w:line="520" w:lineRule="exact"/>
        <w:ind w:firstLine="640" w:firstLineChars="200"/>
        <w:rPr>
          <w:rFonts w:hint="eastAsia" w:ascii="仿宋_GB2312" w:hAnsi="仿宋" w:eastAsia="仿宋_GB2312"/>
          <w:sz w:val="32"/>
          <w:szCs w:val="32"/>
        </w:rPr>
      </w:pP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6</w:t>
      </w:r>
      <w:r>
        <w:rPr>
          <w:rFonts w:hint="eastAsia" w:ascii="仿宋_GB2312" w:hAnsi="黑体" w:eastAsia="仿宋_GB2312"/>
          <w:bCs/>
          <w:sz w:val="32"/>
          <w:szCs w:val="32"/>
          <w:lang w:eastAsia="zh-CN"/>
        </w:rPr>
        <w:t>）</w:t>
      </w:r>
      <w:r>
        <w:rPr>
          <w:rFonts w:hint="eastAsia" w:ascii="仿宋_GB2312" w:hAnsi="仿宋" w:eastAsia="仿宋_GB2312"/>
          <w:sz w:val="32"/>
          <w:szCs w:val="32"/>
        </w:rPr>
        <w:t>负责上级和市人大代表建议、政协委员提案办理的协调督促、综合反馈等工作。</w:t>
      </w:r>
    </w:p>
    <w:p w14:paraId="68F117FE">
      <w:pPr>
        <w:snapToGrid w:val="0"/>
        <w:spacing w:line="520" w:lineRule="exact"/>
        <w:ind w:firstLine="640" w:firstLineChars="200"/>
        <w:rPr>
          <w:rFonts w:hint="eastAsia" w:ascii="仿宋_GB2312" w:hAnsi="仿宋" w:eastAsia="仿宋_GB2312"/>
          <w:sz w:val="32"/>
          <w:szCs w:val="32"/>
        </w:rPr>
      </w:pP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7</w:t>
      </w:r>
      <w:r>
        <w:rPr>
          <w:rFonts w:hint="eastAsia" w:ascii="仿宋_GB2312" w:hAnsi="黑体" w:eastAsia="仿宋_GB2312"/>
          <w:bCs/>
          <w:sz w:val="32"/>
          <w:szCs w:val="32"/>
          <w:lang w:eastAsia="zh-CN"/>
        </w:rPr>
        <w:t>）</w:t>
      </w:r>
      <w:r>
        <w:rPr>
          <w:rFonts w:hint="eastAsia" w:ascii="仿宋_GB2312" w:hAnsi="仿宋" w:eastAsia="仿宋_GB2312"/>
          <w:sz w:val="32"/>
          <w:szCs w:val="32"/>
        </w:rPr>
        <w:t>负责为市政府领导同志提供决策参考信息。组织、推进、指导、监督全市政务公开工作。</w:t>
      </w:r>
    </w:p>
    <w:p w14:paraId="0E75EF96">
      <w:pPr>
        <w:snapToGrid w:val="0"/>
        <w:spacing w:line="520" w:lineRule="exact"/>
        <w:ind w:firstLine="640" w:firstLineChars="200"/>
        <w:rPr>
          <w:rFonts w:hint="eastAsia" w:ascii="仿宋_GB2312" w:hAnsi="仿宋" w:eastAsia="仿宋_GB2312"/>
          <w:sz w:val="32"/>
          <w:szCs w:val="32"/>
        </w:rPr>
      </w:pP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8</w:t>
      </w:r>
      <w:r>
        <w:rPr>
          <w:rFonts w:hint="eastAsia" w:ascii="仿宋_GB2312" w:hAnsi="黑体" w:eastAsia="仿宋_GB2312"/>
          <w:bCs/>
          <w:sz w:val="32"/>
          <w:szCs w:val="32"/>
          <w:lang w:eastAsia="zh-CN"/>
        </w:rPr>
        <w:t>）</w:t>
      </w:r>
      <w:r>
        <w:rPr>
          <w:rFonts w:hint="eastAsia" w:ascii="仿宋_GB2312" w:hAnsi="仿宋" w:eastAsia="仿宋_GB2312"/>
          <w:sz w:val="32"/>
          <w:szCs w:val="32"/>
        </w:rPr>
        <w:t>负责市政府政务值班工作，及时报告重要情况，按照有关领导同志要求转办中央、省、市领导同志指示和要求等工作。</w:t>
      </w:r>
    </w:p>
    <w:p w14:paraId="39E8D0D3">
      <w:pPr>
        <w:snapToGrid w:val="0"/>
        <w:spacing w:line="520" w:lineRule="exact"/>
        <w:ind w:firstLine="640" w:firstLineChars="200"/>
        <w:rPr>
          <w:rFonts w:hint="eastAsia" w:ascii="仿宋_GB2312" w:hAnsi="仿宋" w:eastAsia="仿宋_GB2312"/>
          <w:sz w:val="32"/>
          <w:szCs w:val="32"/>
        </w:rPr>
      </w:pP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9</w:t>
      </w:r>
      <w:r>
        <w:rPr>
          <w:rFonts w:hint="eastAsia" w:ascii="仿宋_GB2312" w:hAnsi="黑体" w:eastAsia="仿宋_GB2312"/>
          <w:bCs/>
          <w:sz w:val="32"/>
          <w:szCs w:val="32"/>
          <w:lang w:eastAsia="zh-CN"/>
        </w:rPr>
        <w:t>）</w:t>
      </w:r>
      <w:r>
        <w:rPr>
          <w:rFonts w:hint="eastAsia" w:ascii="仿宋_GB2312" w:hAnsi="仿宋" w:eastAsia="仿宋_GB2312"/>
          <w:sz w:val="32"/>
          <w:szCs w:val="32"/>
        </w:rPr>
        <w:t>负责公共机构节能监督工作。</w:t>
      </w:r>
    </w:p>
    <w:p w14:paraId="62FAE909">
      <w:pPr>
        <w:snapToGrid w:val="0"/>
        <w:spacing w:line="520" w:lineRule="exact"/>
        <w:ind w:firstLine="640" w:firstLineChars="200"/>
        <w:rPr>
          <w:rFonts w:hint="eastAsia" w:ascii="仿宋_GB2312" w:hAnsi="仿宋" w:eastAsia="仿宋_GB2312"/>
          <w:sz w:val="32"/>
          <w:szCs w:val="32"/>
        </w:rPr>
      </w:pP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10</w:t>
      </w:r>
      <w:r>
        <w:rPr>
          <w:rFonts w:hint="eastAsia" w:ascii="仿宋_GB2312" w:hAnsi="黑体" w:eastAsia="仿宋_GB2312"/>
          <w:bCs/>
          <w:sz w:val="32"/>
          <w:szCs w:val="32"/>
          <w:lang w:eastAsia="zh-CN"/>
        </w:rPr>
        <w:t>）</w:t>
      </w:r>
      <w:r>
        <w:rPr>
          <w:rFonts w:hint="eastAsia" w:ascii="仿宋_GB2312" w:hAnsi="仿宋" w:eastAsia="仿宋_GB2312"/>
          <w:sz w:val="32"/>
          <w:szCs w:val="32"/>
        </w:rPr>
        <w:t>贯彻落实国家、省、市关于地方金融改革发展稳定的方针政策、研究分析全市金融形势并提出建议。组织推动地方金融改革，参与协调全市重大项目融资服务。制定全市直接融资工作规划和政策措施，组织协调推进企业上市(挂牌)发债等直接融资工作。负责全市金融机构的风险防范处置。组织协调引进境内外金融机构，优化金融营商环境。分析评估地方金融风险现状，拟订防范化解地方企融风险的政策措施。统筹组织非法集资、互联网金融等重大金融风险的处置化解工作。</w:t>
      </w:r>
    </w:p>
    <w:p w14:paraId="55189543">
      <w:pPr>
        <w:snapToGrid w:val="0"/>
        <w:spacing w:line="520" w:lineRule="exact"/>
        <w:ind w:firstLine="640" w:firstLineChars="200"/>
        <w:rPr>
          <w:rFonts w:hint="eastAsia" w:ascii="仿宋_GB2312" w:hAnsi="仿宋" w:eastAsia="仿宋_GB2312"/>
          <w:sz w:val="32"/>
          <w:szCs w:val="32"/>
        </w:rPr>
      </w:pP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11</w:t>
      </w:r>
      <w:r>
        <w:rPr>
          <w:rFonts w:hint="eastAsia" w:ascii="仿宋_GB2312" w:hAnsi="黑体" w:eastAsia="仿宋_GB2312"/>
          <w:bCs/>
          <w:sz w:val="32"/>
          <w:szCs w:val="32"/>
          <w:lang w:eastAsia="zh-CN"/>
        </w:rPr>
        <w:t>）</w:t>
      </w:r>
      <w:r>
        <w:rPr>
          <w:rFonts w:hint="eastAsia" w:ascii="仿宋_GB2312" w:hAnsi="仿宋" w:eastAsia="仿宋_GB2312"/>
          <w:sz w:val="32"/>
          <w:szCs w:val="32"/>
        </w:rPr>
        <w:t>负责审核市政府议事协调机构的设立、调整和清理规范工作。</w:t>
      </w:r>
    </w:p>
    <w:p w14:paraId="695559FF">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outlineLvl w:val="9"/>
        <w:rPr>
          <w:rFonts w:ascii="楷体_GB2312" w:hAnsi="宋体" w:eastAsia="楷体_GB2312" w:cs="宋体"/>
          <w:b/>
          <w:color w:val="040404"/>
          <w:kern w:val="0"/>
          <w:szCs w:val="32"/>
        </w:rPr>
      </w:pP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12</w:t>
      </w:r>
      <w:r>
        <w:rPr>
          <w:rFonts w:hint="eastAsia" w:ascii="仿宋_GB2312" w:hAnsi="黑体" w:eastAsia="仿宋_GB2312"/>
          <w:bCs/>
          <w:sz w:val="32"/>
          <w:szCs w:val="32"/>
          <w:lang w:eastAsia="zh-CN"/>
        </w:rPr>
        <w:t>）</w:t>
      </w:r>
      <w:r>
        <w:rPr>
          <w:rFonts w:hint="eastAsia" w:ascii="仿宋_GB2312" w:hAnsi="仿宋" w:eastAsia="仿宋_GB2312"/>
          <w:sz w:val="32"/>
          <w:szCs w:val="32"/>
        </w:rPr>
        <w:t>完成市委、市政府交办的其他任务。</w:t>
      </w:r>
    </w:p>
    <w:p w14:paraId="362B995D">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outlineLvl w:val="9"/>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内设机构及编制</w:t>
      </w:r>
    </w:p>
    <w:p w14:paraId="2219FCB2">
      <w:pPr>
        <w:snapToGrid w:val="0"/>
        <w:spacing w:line="520" w:lineRule="exact"/>
        <w:ind w:firstLine="640" w:firstLineChars="200"/>
        <w:rPr>
          <w:rFonts w:hint="eastAsia" w:ascii="仿宋" w:hAnsi="仿宋" w:eastAsia="仿宋"/>
          <w:sz w:val="32"/>
          <w:szCs w:val="32"/>
        </w:rPr>
      </w:pPr>
      <w:r>
        <w:rPr>
          <w:rFonts w:hint="eastAsia" w:ascii="仿宋_GB2312" w:hAnsi="仿宋" w:eastAsia="仿宋_GB2312"/>
          <w:kern w:val="2"/>
          <w:sz w:val="32"/>
          <w:szCs w:val="32"/>
          <w:lang w:val="en-US" w:eastAsia="zh-CN" w:bidi="ar-SA"/>
        </w:rPr>
        <w:t>机构设置：</w:t>
      </w:r>
      <w:r>
        <w:rPr>
          <w:rFonts w:hint="eastAsia" w:ascii="仿宋" w:hAnsi="仿宋" w:eastAsia="仿宋"/>
          <w:sz w:val="32"/>
          <w:szCs w:val="32"/>
          <w:lang w:eastAsia="zh-CN"/>
        </w:rPr>
        <w:t>一科（常务秘书科）</w:t>
      </w:r>
      <w:r>
        <w:rPr>
          <w:rFonts w:hint="eastAsia" w:ascii="仿宋" w:hAnsi="仿宋" w:eastAsia="仿宋"/>
          <w:sz w:val="32"/>
          <w:szCs w:val="32"/>
        </w:rPr>
        <w:t>、</w:t>
      </w:r>
      <w:r>
        <w:rPr>
          <w:rFonts w:hint="eastAsia" w:ascii="仿宋" w:hAnsi="仿宋" w:eastAsia="仿宋"/>
          <w:sz w:val="32"/>
          <w:szCs w:val="32"/>
          <w:lang w:eastAsia="zh-CN"/>
        </w:rPr>
        <w:t>二科（文电科）、市政府督查室（建议提案联络科）、市政务公开办公室（信息科）、金融科、秘书科、政务值班室。</w:t>
      </w:r>
    </w:p>
    <w:p w14:paraId="5DA8D68F">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outlineLvl w:val="9"/>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纳入部门决算编报范围的预算单位</w:t>
      </w:r>
    </w:p>
    <w:p w14:paraId="7B6D0C8B">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outlineLvl w:val="9"/>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政府办2019年度部门决算编报范围包括：政府办本级、驻哈办、政务值班室、信息中心等。</w:t>
      </w:r>
    </w:p>
    <w:p w14:paraId="3430209A">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outlineLvl w:val="9"/>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项目绩效目标</w:t>
      </w:r>
    </w:p>
    <w:p w14:paraId="7AA39EE9">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outlineLvl w:val="9"/>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严格按照财务制度的规定，合理使用预算资金，按月完成资金使用，确保预算资金发挥效益。</w:t>
      </w:r>
    </w:p>
    <w:p w14:paraId="1625D948">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outlineLvl w:val="9"/>
        <w:rPr>
          <w:rFonts w:hint="eastAsia" w:ascii="仿宋" w:hAnsi="仿宋" w:eastAsia="仿宋" w:cs="仿宋"/>
          <w:color w:val="222222"/>
          <w:kern w:val="0"/>
          <w:sz w:val="32"/>
          <w:szCs w:val="32"/>
        </w:rPr>
      </w:pPr>
      <w:r>
        <w:rPr>
          <w:rFonts w:hint="eastAsia" w:ascii="黑体" w:hAnsi="黑体" w:eastAsia="黑体" w:cs="黑体"/>
          <w:color w:val="222222"/>
          <w:kern w:val="0"/>
          <w:sz w:val="32"/>
          <w:szCs w:val="32"/>
        </w:rPr>
        <w:t>二、部门整体支出规模及使用方向、内容</w:t>
      </w:r>
    </w:p>
    <w:p w14:paraId="64D9DBBE">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outlineLvl w:val="9"/>
        <w:rPr>
          <w:rFonts w:hint="eastAsia" w:ascii="仿宋_GB2312" w:hAnsi="宋体" w:eastAsia="仿宋_GB2312" w:cs="宋体"/>
          <w:color w:val="040404"/>
          <w:kern w:val="0"/>
          <w:szCs w:val="32"/>
          <w:highlight w:val="none"/>
          <w:lang w:val="en-US" w:eastAsia="zh-CN"/>
        </w:rPr>
      </w:pPr>
      <w:r>
        <w:rPr>
          <w:rFonts w:hint="eastAsia" w:ascii="楷体" w:hAnsi="楷体" w:eastAsia="楷体" w:cs="楷体"/>
          <w:color w:val="222222"/>
          <w:kern w:val="0"/>
          <w:sz w:val="32"/>
          <w:szCs w:val="32"/>
        </w:rPr>
        <w:t>201</w:t>
      </w:r>
      <w:r>
        <w:rPr>
          <w:rFonts w:hint="eastAsia" w:ascii="楷体" w:hAnsi="楷体" w:eastAsia="楷体" w:cs="楷体"/>
          <w:color w:val="222222"/>
          <w:kern w:val="0"/>
          <w:sz w:val="32"/>
          <w:szCs w:val="32"/>
          <w:lang w:val="en-US" w:eastAsia="zh-CN"/>
        </w:rPr>
        <w:t>9</w:t>
      </w:r>
      <w:r>
        <w:rPr>
          <w:rFonts w:hint="eastAsia" w:ascii="楷体" w:hAnsi="楷体" w:eastAsia="楷体" w:cs="楷体"/>
          <w:color w:val="222222"/>
          <w:kern w:val="0"/>
          <w:sz w:val="32"/>
          <w:szCs w:val="32"/>
        </w:rPr>
        <w:t>年预算规模情况</w:t>
      </w:r>
    </w:p>
    <w:p w14:paraId="7C997C76">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outlineLvl w:val="9"/>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1．预算资金情况</w:t>
      </w:r>
    </w:p>
    <w:p w14:paraId="45FAC9ED">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3206" w:firstLineChars="1002"/>
        <w:jc w:val="both"/>
        <w:outlineLvl w:val="9"/>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预算</w:t>
      </w:r>
      <w:r>
        <w:rPr>
          <w:rFonts w:hint="eastAsia" w:ascii="仿宋" w:hAnsi="仿宋" w:eastAsia="仿宋" w:cs="仿宋"/>
          <w:color w:val="222222"/>
          <w:kern w:val="0"/>
          <w:sz w:val="32"/>
          <w:szCs w:val="32"/>
          <w:lang w:eastAsia="zh-CN"/>
        </w:rPr>
        <w:t>收支</w:t>
      </w:r>
      <w:r>
        <w:rPr>
          <w:rFonts w:hint="eastAsia" w:ascii="仿宋" w:hAnsi="仿宋" w:eastAsia="仿宋" w:cs="仿宋"/>
          <w:color w:val="222222"/>
          <w:kern w:val="0"/>
          <w:sz w:val="32"/>
          <w:szCs w:val="32"/>
        </w:rPr>
        <w:t>情况</w:t>
      </w:r>
    </w:p>
    <w:tbl>
      <w:tblPr>
        <w:tblStyle w:val="2"/>
        <w:tblW w:w="0" w:type="auto"/>
        <w:tblInd w:w="609" w:type="dxa"/>
        <w:tblLayout w:type="fixed"/>
        <w:tblCellMar>
          <w:top w:w="0" w:type="dxa"/>
          <w:left w:w="0" w:type="dxa"/>
          <w:bottom w:w="0" w:type="dxa"/>
          <w:right w:w="0" w:type="dxa"/>
        </w:tblCellMar>
      </w:tblPr>
      <w:tblGrid>
        <w:gridCol w:w="4194"/>
        <w:gridCol w:w="2631"/>
      </w:tblGrid>
      <w:tr w14:paraId="08F98DBC">
        <w:tblPrEx>
          <w:tblCellMar>
            <w:top w:w="0" w:type="dxa"/>
            <w:left w:w="0" w:type="dxa"/>
            <w:bottom w:w="0" w:type="dxa"/>
            <w:right w:w="0" w:type="dxa"/>
          </w:tblCellMar>
        </w:tblPrEx>
        <w:trPr>
          <w:trHeight w:val="435" w:hRule="atLeast"/>
        </w:trPr>
        <w:tc>
          <w:tcPr>
            <w:tcW w:w="4194"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806C75">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42"/>
              <w:outlineLvl w:val="9"/>
              <w:rPr>
                <w:rFonts w:hint="eastAsia" w:ascii="仿宋" w:hAnsi="仿宋" w:eastAsia="仿宋" w:cs="仿宋"/>
                <w:color w:val="222222"/>
                <w:kern w:val="0"/>
                <w:sz w:val="32"/>
                <w:szCs w:val="32"/>
              </w:rPr>
            </w:pPr>
            <w:r>
              <w:rPr>
                <w:rFonts w:hint="eastAsia" w:ascii="仿宋" w:hAnsi="仿宋" w:eastAsia="仿宋" w:cs="仿宋"/>
                <w:b/>
                <w:bCs/>
                <w:color w:val="222222"/>
                <w:kern w:val="0"/>
                <w:sz w:val="32"/>
                <w:szCs w:val="32"/>
              </w:rPr>
              <w:t>预算项目</w:t>
            </w:r>
          </w:p>
        </w:tc>
        <w:tc>
          <w:tcPr>
            <w:tcW w:w="2631"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42CCF88E">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42"/>
              <w:outlineLvl w:val="9"/>
              <w:rPr>
                <w:rFonts w:hint="eastAsia" w:ascii="仿宋" w:hAnsi="仿宋" w:eastAsia="仿宋" w:cs="仿宋"/>
                <w:color w:val="222222"/>
                <w:kern w:val="0"/>
                <w:sz w:val="32"/>
                <w:szCs w:val="32"/>
              </w:rPr>
            </w:pPr>
            <w:r>
              <w:rPr>
                <w:rFonts w:hint="eastAsia" w:ascii="仿宋" w:hAnsi="仿宋" w:eastAsia="仿宋" w:cs="仿宋"/>
                <w:b/>
                <w:bCs/>
                <w:color w:val="222222"/>
                <w:kern w:val="0"/>
                <w:sz w:val="32"/>
                <w:szCs w:val="32"/>
              </w:rPr>
              <w:t>合计</w:t>
            </w:r>
            <w:r>
              <w:rPr>
                <w:rFonts w:hint="eastAsia" w:ascii="仿宋" w:hAnsi="仿宋" w:eastAsia="仿宋" w:cs="仿宋"/>
                <w:color w:val="222222"/>
                <w:kern w:val="0"/>
                <w:sz w:val="32"/>
                <w:szCs w:val="32"/>
              </w:rPr>
              <w:t>（万元）</w:t>
            </w:r>
          </w:p>
        </w:tc>
      </w:tr>
      <w:tr w14:paraId="1B19CB1E">
        <w:tblPrEx>
          <w:tblCellMar>
            <w:top w:w="0" w:type="dxa"/>
            <w:left w:w="0" w:type="dxa"/>
            <w:bottom w:w="0" w:type="dxa"/>
            <w:right w:w="0" w:type="dxa"/>
          </w:tblCellMar>
        </w:tblPrEx>
        <w:trPr>
          <w:trHeight w:val="525" w:hRule="atLeast"/>
        </w:trPr>
        <w:tc>
          <w:tcPr>
            <w:tcW w:w="419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7CE56C">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40"/>
              <w:outlineLvl w:val="9"/>
              <w:rPr>
                <w:rFonts w:hint="eastAsia" w:ascii="仿宋" w:hAnsi="仿宋" w:eastAsia="仿宋" w:cs="仿宋"/>
                <w:color w:val="222222"/>
                <w:kern w:val="0"/>
                <w:sz w:val="32"/>
                <w:szCs w:val="32"/>
                <w:lang w:eastAsia="zh-CN"/>
              </w:rPr>
            </w:pPr>
            <w:r>
              <w:rPr>
                <w:rFonts w:hint="eastAsia" w:ascii="仿宋" w:hAnsi="仿宋" w:eastAsia="仿宋" w:cs="仿宋"/>
                <w:color w:val="222222"/>
                <w:kern w:val="0"/>
                <w:sz w:val="32"/>
                <w:szCs w:val="32"/>
              </w:rPr>
              <w:t>财政拨款</w:t>
            </w:r>
            <w:r>
              <w:rPr>
                <w:rFonts w:hint="eastAsia" w:ascii="仿宋" w:hAnsi="仿宋" w:eastAsia="仿宋" w:cs="仿宋"/>
                <w:color w:val="222222"/>
                <w:kern w:val="0"/>
                <w:sz w:val="32"/>
                <w:szCs w:val="32"/>
                <w:lang w:eastAsia="zh-CN"/>
              </w:rPr>
              <w:t>年初预算</w:t>
            </w:r>
          </w:p>
        </w:tc>
        <w:tc>
          <w:tcPr>
            <w:tcW w:w="263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7BF5D37">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40"/>
              <w:outlineLvl w:val="9"/>
              <w:rPr>
                <w:rFonts w:hint="default"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102.00</w:t>
            </w:r>
          </w:p>
        </w:tc>
      </w:tr>
      <w:tr w14:paraId="1D7BAB6A">
        <w:tblPrEx>
          <w:tblCellMar>
            <w:top w:w="0" w:type="dxa"/>
            <w:left w:w="0" w:type="dxa"/>
            <w:bottom w:w="0" w:type="dxa"/>
            <w:right w:w="0" w:type="dxa"/>
          </w:tblCellMar>
        </w:tblPrEx>
        <w:trPr>
          <w:trHeight w:val="435" w:hRule="atLeast"/>
        </w:trPr>
        <w:tc>
          <w:tcPr>
            <w:tcW w:w="419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D6A93F">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42"/>
              <w:outlineLvl w:val="9"/>
              <w:rPr>
                <w:rFonts w:hint="eastAsia" w:ascii="仿宋" w:hAnsi="仿宋" w:eastAsia="仿宋" w:cs="仿宋"/>
                <w:color w:val="222222"/>
                <w:kern w:val="0"/>
                <w:sz w:val="32"/>
                <w:szCs w:val="32"/>
              </w:rPr>
            </w:pPr>
            <w:r>
              <w:rPr>
                <w:rFonts w:hint="eastAsia" w:ascii="仿宋" w:hAnsi="仿宋" w:eastAsia="仿宋" w:cs="仿宋"/>
                <w:b/>
                <w:bCs/>
                <w:color w:val="222222"/>
                <w:kern w:val="0"/>
                <w:sz w:val="32"/>
                <w:szCs w:val="32"/>
                <w:lang w:eastAsia="zh-CN"/>
              </w:rPr>
              <w:t>本年</w:t>
            </w:r>
            <w:r>
              <w:rPr>
                <w:rFonts w:hint="eastAsia" w:ascii="仿宋" w:hAnsi="仿宋" w:eastAsia="仿宋" w:cs="仿宋"/>
                <w:b/>
                <w:bCs/>
                <w:color w:val="222222"/>
                <w:kern w:val="0"/>
                <w:sz w:val="32"/>
                <w:szCs w:val="32"/>
              </w:rPr>
              <w:t>收入合计</w:t>
            </w:r>
          </w:p>
        </w:tc>
        <w:tc>
          <w:tcPr>
            <w:tcW w:w="263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D69A546">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42"/>
              <w:outlineLvl w:val="9"/>
              <w:rPr>
                <w:rFonts w:hint="default"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277.29</w:t>
            </w:r>
          </w:p>
        </w:tc>
      </w:tr>
      <w:tr w14:paraId="6A5E4A81">
        <w:tblPrEx>
          <w:tblCellMar>
            <w:top w:w="0" w:type="dxa"/>
            <w:left w:w="0" w:type="dxa"/>
            <w:bottom w:w="0" w:type="dxa"/>
            <w:right w:w="0" w:type="dxa"/>
          </w:tblCellMar>
        </w:tblPrEx>
        <w:trPr>
          <w:trHeight w:val="435" w:hRule="atLeast"/>
        </w:trPr>
        <w:tc>
          <w:tcPr>
            <w:tcW w:w="419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5AD608">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988" w:firstLineChars="309"/>
              <w:outlineLvl w:val="9"/>
              <w:rPr>
                <w:rFonts w:hint="eastAsia" w:ascii="仿宋" w:hAnsi="仿宋" w:eastAsia="仿宋" w:cs="仿宋"/>
                <w:color w:val="222222"/>
                <w:kern w:val="0"/>
                <w:sz w:val="32"/>
                <w:szCs w:val="32"/>
                <w:lang w:eastAsia="zh-CN"/>
              </w:rPr>
            </w:pPr>
            <w:r>
              <w:rPr>
                <w:rFonts w:hint="eastAsia" w:ascii="仿宋" w:hAnsi="仿宋" w:eastAsia="仿宋" w:cs="仿宋"/>
                <w:color w:val="222222"/>
                <w:kern w:val="0"/>
                <w:sz w:val="32"/>
                <w:szCs w:val="32"/>
                <w:lang w:eastAsia="zh-CN"/>
              </w:rPr>
              <w:t>项目支出</w:t>
            </w:r>
          </w:p>
        </w:tc>
        <w:tc>
          <w:tcPr>
            <w:tcW w:w="263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A2328E8">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40"/>
              <w:outlineLvl w:val="9"/>
              <w:rPr>
                <w:rFonts w:hint="default" w:ascii="仿宋" w:hAnsi="仿宋" w:eastAsia="仿宋" w:cs="仿宋"/>
                <w:color w:val="222222"/>
                <w:kern w:val="0"/>
                <w:sz w:val="32"/>
                <w:szCs w:val="32"/>
                <w:lang w:val="en-US"/>
              </w:rPr>
            </w:pPr>
            <w:r>
              <w:rPr>
                <w:rFonts w:hint="eastAsia" w:ascii="仿宋" w:hAnsi="仿宋" w:eastAsia="仿宋" w:cs="仿宋"/>
                <w:color w:val="222222"/>
                <w:kern w:val="0"/>
                <w:sz w:val="32"/>
                <w:szCs w:val="32"/>
                <w:lang w:val="en-US" w:eastAsia="zh-CN"/>
              </w:rPr>
              <w:t>277.29</w:t>
            </w:r>
          </w:p>
        </w:tc>
      </w:tr>
      <w:tr w14:paraId="6EE72876">
        <w:tblPrEx>
          <w:tblCellMar>
            <w:top w:w="0" w:type="dxa"/>
            <w:left w:w="0" w:type="dxa"/>
            <w:bottom w:w="0" w:type="dxa"/>
            <w:right w:w="0" w:type="dxa"/>
          </w:tblCellMar>
        </w:tblPrEx>
        <w:trPr>
          <w:trHeight w:val="435" w:hRule="atLeast"/>
        </w:trPr>
        <w:tc>
          <w:tcPr>
            <w:tcW w:w="419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981DB4">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42"/>
              <w:outlineLvl w:val="9"/>
              <w:rPr>
                <w:rFonts w:hint="eastAsia" w:ascii="仿宋" w:hAnsi="仿宋" w:eastAsia="仿宋" w:cs="仿宋"/>
                <w:color w:val="222222"/>
                <w:kern w:val="0"/>
                <w:sz w:val="32"/>
                <w:szCs w:val="32"/>
              </w:rPr>
            </w:pPr>
            <w:r>
              <w:rPr>
                <w:rFonts w:hint="eastAsia" w:ascii="仿宋" w:hAnsi="仿宋" w:eastAsia="仿宋" w:cs="仿宋"/>
                <w:b/>
                <w:bCs/>
                <w:color w:val="222222"/>
                <w:kern w:val="0"/>
                <w:sz w:val="32"/>
                <w:szCs w:val="32"/>
                <w:lang w:eastAsia="zh-CN"/>
              </w:rPr>
              <w:t>本年</w:t>
            </w:r>
            <w:r>
              <w:rPr>
                <w:rFonts w:hint="eastAsia" w:ascii="仿宋" w:hAnsi="仿宋" w:eastAsia="仿宋" w:cs="仿宋"/>
                <w:b/>
                <w:bCs/>
                <w:color w:val="222222"/>
                <w:kern w:val="0"/>
                <w:sz w:val="32"/>
                <w:szCs w:val="32"/>
              </w:rPr>
              <w:t>支出合计</w:t>
            </w:r>
          </w:p>
        </w:tc>
        <w:tc>
          <w:tcPr>
            <w:tcW w:w="263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217F25D">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42"/>
              <w:outlineLvl w:val="9"/>
              <w:rPr>
                <w:rFonts w:hint="default" w:ascii="仿宋" w:hAnsi="仿宋" w:eastAsia="仿宋" w:cs="仿宋"/>
                <w:color w:val="222222"/>
                <w:kern w:val="0"/>
                <w:sz w:val="32"/>
                <w:szCs w:val="32"/>
                <w:lang w:val="en-US"/>
              </w:rPr>
            </w:pPr>
            <w:r>
              <w:rPr>
                <w:rFonts w:hint="eastAsia" w:ascii="仿宋" w:hAnsi="仿宋" w:eastAsia="仿宋" w:cs="仿宋"/>
                <w:color w:val="222222"/>
                <w:kern w:val="0"/>
                <w:sz w:val="32"/>
                <w:szCs w:val="32"/>
                <w:lang w:val="en-US" w:eastAsia="zh-CN"/>
              </w:rPr>
              <w:t>277.29</w:t>
            </w:r>
          </w:p>
        </w:tc>
      </w:tr>
    </w:tbl>
    <w:p w14:paraId="75978364">
      <w:pPr>
        <w:keepNext w:val="0"/>
        <w:keepLines w:val="0"/>
        <w:pageBreakBefore w:val="0"/>
        <w:widowControl/>
        <w:kinsoku/>
        <w:wordWrap/>
        <w:overflowPunct/>
        <w:topLinePunct w:val="0"/>
        <w:autoSpaceDE/>
        <w:autoSpaceDN/>
        <w:bidi w:val="0"/>
        <w:adjustRightInd/>
        <w:snapToGrid/>
        <w:spacing w:line="600" w:lineRule="exact"/>
        <w:ind w:right="0" w:rightChars="0"/>
        <w:jc w:val="both"/>
        <w:outlineLvl w:val="9"/>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2．整体</w:t>
      </w:r>
      <w:r>
        <w:rPr>
          <w:rFonts w:hint="eastAsia" w:ascii="仿宋" w:hAnsi="仿宋" w:eastAsia="仿宋" w:cs="仿宋"/>
          <w:color w:val="222222"/>
          <w:kern w:val="0"/>
          <w:sz w:val="32"/>
          <w:szCs w:val="32"/>
          <w:lang w:eastAsia="zh-CN"/>
        </w:rPr>
        <w:t>预算</w:t>
      </w:r>
      <w:r>
        <w:rPr>
          <w:rFonts w:hint="eastAsia" w:ascii="仿宋" w:hAnsi="仿宋" w:eastAsia="仿宋" w:cs="仿宋"/>
          <w:color w:val="222222"/>
          <w:kern w:val="0"/>
          <w:sz w:val="32"/>
          <w:szCs w:val="32"/>
        </w:rPr>
        <w:t>使用范围、方向和内容</w:t>
      </w:r>
    </w:p>
    <w:tbl>
      <w:tblPr>
        <w:tblStyle w:val="2"/>
        <w:tblW w:w="8700" w:type="dxa"/>
        <w:tblInd w:w="370" w:type="dxa"/>
        <w:tblLayout w:type="fixed"/>
        <w:tblCellMar>
          <w:top w:w="0" w:type="dxa"/>
          <w:left w:w="0" w:type="dxa"/>
          <w:bottom w:w="0" w:type="dxa"/>
          <w:right w:w="0" w:type="dxa"/>
        </w:tblCellMar>
      </w:tblPr>
      <w:tblGrid>
        <w:gridCol w:w="5265"/>
        <w:gridCol w:w="3435"/>
      </w:tblGrid>
      <w:tr w14:paraId="3A56ECA3">
        <w:tblPrEx>
          <w:tblCellMar>
            <w:top w:w="0" w:type="dxa"/>
            <w:left w:w="0" w:type="dxa"/>
            <w:bottom w:w="0" w:type="dxa"/>
            <w:right w:w="0" w:type="dxa"/>
          </w:tblCellMar>
        </w:tblPrEx>
        <w:trPr>
          <w:trHeight w:val="480" w:hRule="atLeast"/>
        </w:trPr>
        <w:tc>
          <w:tcPr>
            <w:tcW w:w="526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C3BE3C">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42"/>
              <w:jc w:val="center"/>
              <w:outlineLvl w:val="9"/>
              <w:rPr>
                <w:rFonts w:hint="eastAsia" w:ascii="仿宋" w:hAnsi="仿宋" w:eastAsia="仿宋" w:cs="仿宋"/>
                <w:color w:val="222222"/>
                <w:kern w:val="0"/>
                <w:sz w:val="32"/>
                <w:szCs w:val="32"/>
              </w:rPr>
            </w:pPr>
            <w:r>
              <w:rPr>
                <w:rFonts w:hint="eastAsia" w:ascii="仿宋" w:hAnsi="仿宋" w:eastAsia="仿宋" w:cs="仿宋"/>
                <w:b/>
                <w:bCs/>
                <w:color w:val="222222"/>
                <w:kern w:val="0"/>
                <w:sz w:val="32"/>
                <w:szCs w:val="32"/>
              </w:rPr>
              <w:t>支出项目</w:t>
            </w:r>
          </w:p>
        </w:tc>
        <w:tc>
          <w:tcPr>
            <w:tcW w:w="343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22778E05">
            <w:pPr>
              <w:keepNext w:val="0"/>
              <w:keepLines w:val="0"/>
              <w:pageBreakBefore w:val="0"/>
              <w:widowControl/>
              <w:kinsoku/>
              <w:wordWrap/>
              <w:overflowPunct/>
              <w:topLinePunct w:val="0"/>
              <w:autoSpaceDE/>
              <w:autoSpaceDN/>
              <w:bidi w:val="0"/>
              <w:adjustRightInd/>
              <w:snapToGrid/>
              <w:spacing w:line="600" w:lineRule="exact"/>
              <w:ind w:right="0" w:rightChars="0"/>
              <w:jc w:val="center"/>
              <w:outlineLvl w:val="9"/>
              <w:rPr>
                <w:rFonts w:hint="eastAsia" w:ascii="仿宋" w:hAnsi="仿宋" w:eastAsia="仿宋" w:cs="仿宋"/>
                <w:color w:val="222222"/>
                <w:kern w:val="0"/>
                <w:sz w:val="32"/>
                <w:szCs w:val="32"/>
              </w:rPr>
            </w:pPr>
            <w:r>
              <w:rPr>
                <w:rFonts w:hint="eastAsia" w:ascii="仿宋" w:hAnsi="仿宋" w:eastAsia="仿宋" w:cs="仿宋"/>
                <w:b/>
                <w:bCs/>
                <w:color w:val="222222"/>
                <w:kern w:val="0"/>
                <w:sz w:val="32"/>
                <w:szCs w:val="32"/>
              </w:rPr>
              <w:t>基本支出（万元）</w:t>
            </w:r>
          </w:p>
        </w:tc>
      </w:tr>
      <w:tr w14:paraId="1E8A365B">
        <w:tblPrEx>
          <w:tblCellMar>
            <w:top w:w="0" w:type="dxa"/>
            <w:left w:w="0" w:type="dxa"/>
            <w:bottom w:w="0" w:type="dxa"/>
            <w:right w:w="0" w:type="dxa"/>
          </w:tblCellMar>
        </w:tblPrEx>
        <w:trPr>
          <w:trHeight w:val="480" w:hRule="atLeast"/>
        </w:trPr>
        <w:tc>
          <w:tcPr>
            <w:tcW w:w="526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8491D3">
            <w:pPr>
              <w:keepNext w:val="0"/>
              <w:keepLines w:val="0"/>
              <w:pageBreakBefore w:val="0"/>
              <w:widowControl/>
              <w:kinsoku/>
              <w:wordWrap/>
              <w:overflowPunct/>
              <w:topLinePunct w:val="0"/>
              <w:autoSpaceDE/>
              <w:autoSpaceDN/>
              <w:bidi w:val="0"/>
              <w:adjustRightInd/>
              <w:snapToGrid/>
              <w:spacing w:line="600" w:lineRule="exact"/>
              <w:ind w:right="0" w:rightChars="0"/>
              <w:jc w:val="center"/>
              <w:outlineLvl w:val="9"/>
              <w:rPr>
                <w:rFonts w:hint="eastAsia" w:ascii="仿宋" w:hAnsi="仿宋" w:eastAsia="仿宋" w:cs="仿宋"/>
                <w:color w:val="222222"/>
                <w:kern w:val="0"/>
                <w:sz w:val="32"/>
                <w:szCs w:val="32"/>
              </w:rPr>
            </w:pPr>
            <w:r>
              <w:rPr>
                <w:rFonts w:hint="eastAsia" w:ascii="仿宋" w:hAnsi="仿宋" w:eastAsia="仿宋" w:cs="仿宋"/>
                <w:b/>
                <w:bCs/>
                <w:color w:val="222222"/>
                <w:kern w:val="0"/>
                <w:sz w:val="32"/>
                <w:szCs w:val="32"/>
                <w:lang w:eastAsia="zh-CN"/>
              </w:rPr>
              <w:t>按</w:t>
            </w:r>
            <w:r>
              <w:rPr>
                <w:rFonts w:hint="eastAsia" w:ascii="仿宋" w:hAnsi="仿宋" w:eastAsia="仿宋" w:cs="仿宋"/>
                <w:b/>
                <w:bCs/>
                <w:color w:val="222222"/>
                <w:kern w:val="0"/>
                <w:sz w:val="32"/>
                <w:szCs w:val="32"/>
                <w:lang w:val="en-US" w:eastAsia="zh-CN"/>
              </w:rPr>
              <w:t>项目</w:t>
            </w:r>
            <w:r>
              <w:rPr>
                <w:rFonts w:hint="eastAsia" w:ascii="仿宋" w:hAnsi="仿宋" w:eastAsia="仿宋" w:cs="仿宋"/>
                <w:b/>
                <w:bCs/>
                <w:color w:val="222222"/>
                <w:kern w:val="0"/>
                <w:sz w:val="32"/>
                <w:szCs w:val="32"/>
                <w:lang w:eastAsia="zh-CN"/>
              </w:rPr>
              <w:t>管理的</w:t>
            </w:r>
            <w:r>
              <w:rPr>
                <w:rFonts w:hint="eastAsia" w:ascii="仿宋" w:hAnsi="仿宋" w:eastAsia="仿宋" w:cs="仿宋"/>
                <w:b/>
                <w:bCs/>
                <w:color w:val="222222"/>
                <w:kern w:val="0"/>
                <w:sz w:val="32"/>
                <w:szCs w:val="32"/>
              </w:rPr>
              <w:t>商品和服务支出</w:t>
            </w:r>
          </w:p>
        </w:tc>
        <w:tc>
          <w:tcPr>
            <w:tcW w:w="34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6F8517F">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40"/>
              <w:jc w:val="center"/>
              <w:outlineLvl w:val="9"/>
              <w:rPr>
                <w:rFonts w:hint="default"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277.29</w:t>
            </w:r>
          </w:p>
        </w:tc>
      </w:tr>
      <w:tr w14:paraId="7435BD06">
        <w:tblPrEx>
          <w:tblCellMar>
            <w:top w:w="0" w:type="dxa"/>
            <w:left w:w="0" w:type="dxa"/>
            <w:bottom w:w="0" w:type="dxa"/>
            <w:right w:w="0" w:type="dxa"/>
          </w:tblCellMar>
        </w:tblPrEx>
        <w:trPr>
          <w:trHeight w:val="480" w:hRule="atLeast"/>
        </w:trPr>
        <w:tc>
          <w:tcPr>
            <w:tcW w:w="526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D6099F">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42"/>
              <w:jc w:val="center"/>
              <w:outlineLvl w:val="9"/>
              <w:rPr>
                <w:rFonts w:hint="eastAsia" w:ascii="仿宋" w:hAnsi="仿宋" w:eastAsia="仿宋" w:cs="仿宋"/>
                <w:color w:val="222222"/>
                <w:kern w:val="0"/>
                <w:sz w:val="32"/>
                <w:szCs w:val="32"/>
              </w:rPr>
            </w:pPr>
            <w:r>
              <w:rPr>
                <w:rFonts w:hint="eastAsia" w:ascii="仿宋" w:hAnsi="仿宋" w:eastAsia="仿宋" w:cs="仿宋"/>
                <w:b/>
                <w:bCs/>
                <w:color w:val="222222"/>
                <w:kern w:val="0"/>
                <w:sz w:val="32"/>
                <w:szCs w:val="32"/>
              </w:rPr>
              <w:t>合 计</w:t>
            </w:r>
          </w:p>
        </w:tc>
        <w:tc>
          <w:tcPr>
            <w:tcW w:w="34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9F6D03F">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40"/>
              <w:jc w:val="center"/>
              <w:outlineLvl w:val="9"/>
              <w:rPr>
                <w:rFonts w:hint="default"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277.29</w:t>
            </w:r>
          </w:p>
        </w:tc>
      </w:tr>
    </w:tbl>
    <w:p w14:paraId="3B520423">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outlineLvl w:val="9"/>
        <w:rPr>
          <w:rFonts w:hint="eastAsia" w:ascii="黑体" w:hAnsi="黑体" w:eastAsia="黑体" w:cs="黑体"/>
          <w:color w:val="222222"/>
          <w:kern w:val="0"/>
          <w:sz w:val="32"/>
          <w:szCs w:val="32"/>
        </w:rPr>
      </w:pPr>
      <w:r>
        <w:rPr>
          <w:rFonts w:hint="eastAsia" w:ascii="仿宋" w:hAnsi="仿宋" w:eastAsia="仿宋" w:cs="仿宋"/>
          <w:color w:val="222222"/>
          <w:kern w:val="0"/>
          <w:sz w:val="32"/>
          <w:szCs w:val="32"/>
          <w:lang w:val="en-US" w:eastAsia="zh-CN"/>
        </w:rPr>
        <w:t xml:space="preserve"> </w:t>
      </w:r>
      <w:r>
        <w:rPr>
          <w:rFonts w:hint="eastAsia" w:ascii="黑体" w:hAnsi="黑体" w:eastAsia="黑体" w:cs="黑体"/>
          <w:color w:val="222222"/>
          <w:kern w:val="0"/>
          <w:sz w:val="32"/>
          <w:szCs w:val="32"/>
          <w:lang w:eastAsia="zh-CN"/>
        </w:rPr>
        <w:t>三、</w:t>
      </w:r>
      <w:r>
        <w:rPr>
          <w:rFonts w:hint="eastAsia" w:ascii="黑体" w:hAnsi="黑体" w:eastAsia="黑体" w:cs="黑体"/>
          <w:color w:val="222222"/>
          <w:kern w:val="0"/>
          <w:sz w:val="32"/>
          <w:szCs w:val="32"/>
        </w:rPr>
        <w:t>绩效评价工作情况</w:t>
      </w:r>
    </w:p>
    <w:p w14:paraId="257F2B76">
      <w:pPr>
        <w:keepNext w:val="0"/>
        <w:keepLines w:val="0"/>
        <w:pageBreakBefore w:val="0"/>
        <w:widowControl/>
        <w:kinsoku/>
        <w:wordWrap/>
        <w:overflowPunct/>
        <w:topLinePunct w:val="0"/>
        <w:autoSpaceDE/>
        <w:autoSpaceDN/>
        <w:bidi w:val="0"/>
        <w:adjustRightInd/>
        <w:snapToGrid/>
        <w:spacing w:line="600" w:lineRule="exact"/>
        <w:ind w:left="0" w:leftChars="0" w:right="0" w:rightChars="0"/>
        <w:outlineLvl w:val="9"/>
        <w:rPr>
          <w:rFonts w:hint="eastAsia" w:ascii="楷体" w:hAnsi="楷体" w:eastAsia="楷体" w:cs="楷体"/>
          <w:color w:val="222222"/>
          <w:kern w:val="0"/>
          <w:sz w:val="32"/>
          <w:szCs w:val="32"/>
        </w:rPr>
      </w:pPr>
      <w:r>
        <w:rPr>
          <w:rFonts w:hint="eastAsia" w:ascii="仿宋" w:hAnsi="仿宋" w:eastAsia="仿宋" w:cs="仿宋"/>
          <w:color w:val="222222"/>
          <w:kern w:val="0"/>
          <w:sz w:val="32"/>
          <w:szCs w:val="32"/>
        </w:rPr>
        <w:t xml:space="preserve">  </w:t>
      </w:r>
      <w:r>
        <w:rPr>
          <w:rFonts w:hint="eastAsia" w:ascii="仿宋" w:hAnsi="仿宋" w:eastAsia="仿宋" w:cs="仿宋"/>
          <w:color w:val="222222"/>
          <w:kern w:val="0"/>
          <w:sz w:val="32"/>
          <w:szCs w:val="32"/>
          <w:lang w:val="en-US" w:eastAsia="zh-CN"/>
        </w:rPr>
        <w:t xml:space="preserve"> </w:t>
      </w:r>
      <w:r>
        <w:rPr>
          <w:rFonts w:hint="eastAsia" w:ascii="楷体" w:hAnsi="楷体" w:eastAsia="楷体" w:cs="楷体"/>
          <w:color w:val="222222"/>
          <w:kern w:val="0"/>
          <w:sz w:val="32"/>
          <w:szCs w:val="32"/>
        </w:rPr>
        <w:t>（一）绩效评价目的</w:t>
      </w:r>
    </w:p>
    <w:p w14:paraId="4CB60344">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outlineLvl w:val="9"/>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绩效评价的目的是为了全面分析和综合评价我</w:t>
      </w:r>
      <w:r>
        <w:rPr>
          <w:rFonts w:hint="eastAsia" w:ascii="仿宋" w:hAnsi="仿宋" w:eastAsia="仿宋" w:cs="仿宋"/>
          <w:color w:val="222222"/>
          <w:kern w:val="0"/>
          <w:sz w:val="32"/>
          <w:szCs w:val="32"/>
          <w:lang w:eastAsia="zh-CN"/>
        </w:rPr>
        <w:t>站</w:t>
      </w:r>
      <w:r>
        <w:rPr>
          <w:rFonts w:hint="eastAsia" w:ascii="仿宋" w:hAnsi="仿宋" w:eastAsia="仿宋" w:cs="仿宋"/>
          <w:color w:val="222222"/>
          <w:kern w:val="0"/>
          <w:sz w:val="32"/>
          <w:szCs w:val="32"/>
        </w:rPr>
        <w:t>财政预算资金的使用管理情况，为切实提高财政资金使用效益，强化预算支出的责任和效率提供参考依据。</w:t>
      </w:r>
    </w:p>
    <w:p w14:paraId="275635EA">
      <w:pPr>
        <w:keepNext w:val="0"/>
        <w:keepLines w:val="0"/>
        <w:pageBreakBefore w:val="0"/>
        <w:widowControl/>
        <w:numPr>
          <w:ilvl w:val="0"/>
          <w:numId w:val="0"/>
        </w:numPr>
        <w:kinsoku/>
        <w:wordWrap/>
        <w:overflowPunct/>
        <w:topLinePunct w:val="0"/>
        <w:autoSpaceDE/>
        <w:autoSpaceDN/>
        <w:bidi w:val="0"/>
        <w:adjustRightInd/>
        <w:snapToGrid/>
        <w:spacing w:line="600" w:lineRule="exact"/>
        <w:ind w:left="320" w:leftChars="0" w:right="0" w:rightChars="0" w:firstLine="320" w:firstLineChars="100"/>
        <w:outlineLvl w:val="9"/>
        <w:rPr>
          <w:rFonts w:hint="eastAsia" w:ascii="楷体" w:hAnsi="楷体" w:eastAsia="楷体" w:cs="楷体"/>
          <w:color w:val="222222"/>
          <w:kern w:val="0"/>
          <w:sz w:val="32"/>
          <w:szCs w:val="32"/>
          <w:lang w:eastAsia="zh-CN"/>
        </w:rPr>
      </w:pPr>
      <w:r>
        <w:rPr>
          <w:rFonts w:hint="eastAsia" w:ascii="楷体" w:hAnsi="楷体" w:eastAsia="楷体" w:cs="楷体"/>
          <w:color w:val="222222"/>
          <w:kern w:val="0"/>
          <w:sz w:val="32"/>
          <w:szCs w:val="32"/>
          <w:lang w:eastAsia="zh-CN"/>
        </w:rPr>
        <w:t>（二）评价原则</w:t>
      </w:r>
    </w:p>
    <w:p w14:paraId="19AE42F7">
      <w:pPr>
        <w:keepNext w:val="0"/>
        <w:keepLines w:val="0"/>
        <w:pageBreakBefore w:val="0"/>
        <w:widowControl/>
        <w:kinsoku/>
        <w:wordWrap/>
        <w:overflowPunct/>
        <w:topLinePunct w:val="0"/>
        <w:autoSpaceDE/>
        <w:autoSpaceDN/>
        <w:bidi w:val="0"/>
        <w:adjustRightInd/>
        <w:snapToGrid/>
        <w:spacing w:line="600" w:lineRule="exact"/>
        <w:ind w:left="0" w:leftChars="0" w:right="0" w:rightChars="0"/>
        <w:outlineLvl w:val="9"/>
        <w:rPr>
          <w:rFonts w:hint="eastAsia" w:ascii="楷体" w:hAnsi="楷体" w:eastAsia="楷体" w:cs="楷体"/>
          <w:color w:val="222222"/>
          <w:kern w:val="0"/>
          <w:sz w:val="32"/>
          <w:szCs w:val="32"/>
          <w:lang w:val="en-US" w:eastAsia="zh-CN"/>
        </w:rPr>
      </w:pPr>
      <w:r>
        <w:rPr>
          <w:rFonts w:hint="eastAsia" w:ascii="楷体" w:hAnsi="楷体" w:eastAsia="楷体" w:cs="楷体"/>
          <w:color w:val="222222"/>
          <w:kern w:val="0"/>
          <w:sz w:val="32"/>
          <w:szCs w:val="32"/>
          <w:lang w:val="en-US" w:eastAsia="zh-CN"/>
        </w:rPr>
        <w:t xml:space="preserve">   </w:t>
      </w:r>
      <w:r>
        <w:rPr>
          <w:rFonts w:hint="eastAsia" w:ascii="仿宋" w:hAnsi="仿宋" w:eastAsia="仿宋" w:cs="仿宋"/>
          <w:color w:val="222222"/>
          <w:kern w:val="0"/>
          <w:sz w:val="32"/>
          <w:szCs w:val="32"/>
          <w:lang w:val="en-US" w:eastAsia="zh-CN"/>
        </w:rPr>
        <w:t xml:space="preserve"> 1.服务职能原则。2.规模适度原则。3.社会效益原则。4.合法性原则。</w:t>
      </w:r>
    </w:p>
    <w:p w14:paraId="4A67AF9A">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outlineLvl w:val="9"/>
        <w:rPr>
          <w:rFonts w:hint="eastAsia" w:ascii="楷体" w:hAnsi="楷体" w:eastAsia="楷体" w:cs="楷体"/>
          <w:color w:val="222222"/>
          <w:kern w:val="0"/>
          <w:sz w:val="32"/>
          <w:szCs w:val="32"/>
        </w:rPr>
      </w:pPr>
      <w:r>
        <w:rPr>
          <w:rFonts w:hint="eastAsia" w:ascii="楷体" w:hAnsi="楷体" w:eastAsia="楷体" w:cs="楷体"/>
          <w:color w:val="222222"/>
          <w:kern w:val="0"/>
          <w:sz w:val="32"/>
          <w:szCs w:val="32"/>
          <w:lang w:eastAsia="zh-CN"/>
        </w:rPr>
        <w:t>（三）</w:t>
      </w:r>
      <w:r>
        <w:rPr>
          <w:rFonts w:hint="eastAsia" w:ascii="楷体" w:hAnsi="楷体" w:eastAsia="楷体" w:cs="楷体"/>
          <w:color w:val="222222"/>
          <w:kern w:val="0"/>
          <w:sz w:val="32"/>
          <w:szCs w:val="32"/>
        </w:rPr>
        <w:t>绩效评价工作过程，主要包括前期准备、组织实施和分析评价等内容</w:t>
      </w:r>
    </w:p>
    <w:p w14:paraId="40997547">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outlineLvl w:val="9"/>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我</w:t>
      </w:r>
      <w:r>
        <w:rPr>
          <w:rFonts w:hint="eastAsia" w:ascii="仿宋" w:hAnsi="仿宋" w:eastAsia="仿宋" w:cs="仿宋"/>
          <w:color w:val="222222"/>
          <w:kern w:val="0"/>
          <w:sz w:val="32"/>
          <w:szCs w:val="32"/>
          <w:lang w:eastAsia="zh-CN"/>
        </w:rPr>
        <w:t>站</w:t>
      </w:r>
      <w:r>
        <w:rPr>
          <w:rFonts w:hint="eastAsia" w:ascii="仿宋" w:hAnsi="仿宋" w:eastAsia="仿宋" w:cs="仿宋"/>
          <w:color w:val="222222"/>
          <w:kern w:val="0"/>
          <w:sz w:val="32"/>
          <w:szCs w:val="32"/>
        </w:rPr>
        <w:t>按照绩效评价规程要求，第一阶段为前期准备：</w:t>
      </w:r>
      <w:r>
        <w:rPr>
          <w:rFonts w:hint="eastAsia" w:ascii="仿宋" w:hAnsi="仿宋" w:eastAsia="仿宋" w:cs="仿宋"/>
          <w:color w:val="222222"/>
          <w:kern w:val="0"/>
          <w:sz w:val="32"/>
          <w:szCs w:val="32"/>
          <w:lang w:eastAsia="zh-CN"/>
        </w:rPr>
        <w:t>按照财政部门要求，</w:t>
      </w:r>
      <w:r>
        <w:rPr>
          <w:rFonts w:hint="eastAsia" w:ascii="仿宋" w:hAnsi="仿宋" w:eastAsia="仿宋" w:cs="仿宋"/>
          <w:color w:val="222222"/>
          <w:kern w:val="0"/>
          <w:sz w:val="32"/>
          <w:szCs w:val="32"/>
        </w:rPr>
        <w:t>确定评价指标细则；第二阶段为自评：根据任务布置，按照要求展开自评工作，并初拟评价结果；第三阶段为定性终评，查阅相关文件资料和财务凭证，对收集资料进行定量定性分析，综合评议后形成评价结论，出具绩效评价报告。</w:t>
      </w:r>
    </w:p>
    <w:p w14:paraId="4AA82F7C">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outlineLvl w:val="9"/>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rPr>
        <w:t>四、整体支出使用管理情况</w:t>
      </w:r>
    </w:p>
    <w:p w14:paraId="78A15701">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outlineLvl w:val="9"/>
        <w:rPr>
          <w:rFonts w:hint="eastAsia" w:ascii="楷体" w:hAnsi="楷体" w:eastAsia="楷体" w:cs="楷体"/>
          <w:color w:val="222222"/>
          <w:kern w:val="0"/>
          <w:sz w:val="32"/>
          <w:szCs w:val="32"/>
        </w:rPr>
      </w:pPr>
      <w:r>
        <w:rPr>
          <w:rFonts w:hint="eastAsia" w:ascii="楷体" w:hAnsi="楷体" w:eastAsia="楷体" w:cs="楷体"/>
          <w:color w:val="222222"/>
          <w:kern w:val="0"/>
          <w:sz w:val="32"/>
          <w:szCs w:val="32"/>
        </w:rPr>
        <w:t>（一）基本支出使用管理情况</w:t>
      </w:r>
    </w:p>
    <w:p w14:paraId="77ECCA5E">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outlineLvl w:val="9"/>
        <w:rPr>
          <w:rFonts w:hint="eastAsia" w:ascii="仿宋" w:hAnsi="仿宋" w:eastAsia="仿宋" w:cs="仿宋"/>
          <w:color w:val="auto"/>
          <w:kern w:val="0"/>
          <w:sz w:val="32"/>
          <w:szCs w:val="32"/>
        </w:rPr>
      </w:pPr>
      <w:r>
        <w:rPr>
          <w:rFonts w:hint="eastAsia" w:ascii="仿宋" w:hAnsi="仿宋" w:eastAsia="仿宋" w:cs="仿宋"/>
          <w:color w:val="222222"/>
          <w:kern w:val="0"/>
          <w:sz w:val="32"/>
          <w:szCs w:val="32"/>
        </w:rPr>
        <w:t>基本支出的范围和主要用途包括人员经费和日常公用经费。具体包括：工资福利支出、对个人和家庭的补助、商品和服务支出、其他资本性支出。基本支出的管理和使用情况如下：</w:t>
      </w:r>
    </w:p>
    <w:p w14:paraId="22233F71">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基本支出本年预算指标可用</w:t>
      </w:r>
      <w:r>
        <w:rPr>
          <w:rFonts w:hint="eastAsia" w:ascii="仿宋" w:hAnsi="仿宋" w:eastAsia="仿宋" w:cs="仿宋"/>
          <w:color w:val="auto"/>
          <w:kern w:val="0"/>
          <w:sz w:val="32"/>
          <w:szCs w:val="32"/>
          <w:lang w:eastAsia="zh-CN"/>
        </w:rPr>
        <w:t>执行</w:t>
      </w:r>
      <w:r>
        <w:rPr>
          <w:rFonts w:hint="eastAsia" w:ascii="仿宋" w:hAnsi="仿宋" w:eastAsia="仿宋" w:cs="仿宋"/>
          <w:color w:val="auto"/>
          <w:kern w:val="0"/>
          <w:sz w:val="32"/>
          <w:szCs w:val="32"/>
        </w:rPr>
        <w:t>情况（单位：万元）</w:t>
      </w:r>
    </w:p>
    <w:tbl>
      <w:tblPr>
        <w:tblStyle w:val="2"/>
        <w:tblW w:w="9540" w:type="dxa"/>
        <w:tblInd w:w="-591" w:type="dxa"/>
        <w:tblLayout w:type="fixed"/>
        <w:tblCellMar>
          <w:top w:w="0" w:type="dxa"/>
          <w:left w:w="0" w:type="dxa"/>
          <w:bottom w:w="0" w:type="dxa"/>
          <w:right w:w="0" w:type="dxa"/>
        </w:tblCellMar>
      </w:tblPr>
      <w:tblGrid>
        <w:gridCol w:w="3915"/>
        <w:gridCol w:w="1651"/>
        <w:gridCol w:w="1604"/>
        <w:gridCol w:w="2370"/>
      </w:tblGrid>
      <w:tr w14:paraId="39A684D5">
        <w:tblPrEx>
          <w:tblCellMar>
            <w:top w:w="0" w:type="dxa"/>
            <w:left w:w="0" w:type="dxa"/>
            <w:bottom w:w="0" w:type="dxa"/>
            <w:right w:w="0" w:type="dxa"/>
          </w:tblCellMar>
        </w:tblPrEx>
        <w:trPr>
          <w:trHeight w:val="525" w:hRule="atLeast"/>
        </w:trPr>
        <w:tc>
          <w:tcPr>
            <w:tcW w:w="39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F975538">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42"/>
              <w:jc w:val="center"/>
              <w:outlineLvl w:val="9"/>
              <w:rPr>
                <w:rFonts w:hint="eastAsia" w:ascii="仿宋" w:hAnsi="仿宋" w:eastAsia="仿宋" w:cs="仿宋"/>
                <w:color w:val="222222"/>
                <w:kern w:val="0"/>
                <w:sz w:val="32"/>
                <w:szCs w:val="32"/>
              </w:rPr>
            </w:pPr>
            <w:r>
              <w:rPr>
                <w:rFonts w:hint="eastAsia" w:ascii="仿宋" w:hAnsi="仿宋" w:eastAsia="仿宋" w:cs="仿宋"/>
                <w:b/>
                <w:bCs/>
                <w:color w:val="222222"/>
                <w:kern w:val="0"/>
                <w:sz w:val="32"/>
                <w:szCs w:val="32"/>
              </w:rPr>
              <w:t>预算项目</w:t>
            </w:r>
          </w:p>
        </w:tc>
        <w:tc>
          <w:tcPr>
            <w:tcW w:w="16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87EC5ED">
            <w:pPr>
              <w:keepNext w:val="0"/>
              <w:keepLines w:val="0"/>
              <w:pageBreakBefore w:val="0"/>
              <w:widowControl/>
              <w:kinsoku/>
              <w:wordWrap/>
              <w:overflowPunct/>
              <w:topLinePunct w:val="0"/>
              <w:autoSpaceDE/>
              <w:autoSpaceDN/>
              <w:bidi w:val="0"/>
              <w:adjustRightInd/>
              <w:snapToGrid/>
              <w:spacing w:line="600" w:lineRule="exact"/>
              <w:ind w:right="0" w:rightChars="0"/>
              <w:jc w:val="center"/>
              <w:outlineLvl w:val="9"/>
              <w:rPr>
                <w:rFonts w:hint="eastAsia" w:ascii="仿宋" w:hAnsi="仿宋" w:eastAsia="仿宋" w:cs="仿宋"/>
                <w:color w:val="222222"/>
                <w:kern w:val="0"/>
                <w:sz w:val="32"/>
                <w:szCs w:val="32"/>
              </w:rPr>
            </w:pPr>
            <w:r>
              <w:rPr>
                <w:rFonts w:hint="eastAsia" w:ascii="仿宋" w:hAnsi="仿宋" w:eastAsia="仿宋" w:cs="仿宋"/>
                <w:b/>
                <w:bCs/>
                <w:color w:val="222222"/>
                <w:kern w:val="0"/>
                <w:sz w:val="32"/>
                <w:szCs w:val="32"/>
              </w:rPr>
              <w:t>本年预算</w:t>
            </w:r>
          </w:p>
        </w:tc>
        <w:tc>
          <w:tcPr>
            <w:tcW w:w="16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5E0460C">
            <w:pPr>
              <w:keepNext w:val="0"/>
              <w:keepLines w:val="0"/>
              <w:pageBreakBefore w:val="0"/>
              <w:widowControl/>
              <w:kinsoku/>
              <w:wordWrap/>
              <w:overflowPunct/>
              <w:topLinePunct w:val="0"/>
              <w:autoSpaceDE/>
              <w:autoSpaceDN/>
              <w:bidi w:val="0"/>
              <w:adjustRightInd/>
              <w:snapToGrid/>
              <w:spacing w:line="600" w:lineRule="exact"/>
              <w:ind w:right="0" w:rightChars="0"/>
              <w:jc w:val="both"/>
              <w:outlineLvl w:val="9"/>
              <w:rPr>
                <w:rFonts w:hint="eastAsia" w:ascii="仿宋" w:hAnsi="仿宋" w:eastAsia="仿宋" w:cs="仿宋"/>
                <w:color w:val="222222"/>
                <w:kern w:val="0"/>
                <w:sz w:val="32"/>
                <w:szCs w:val="32"/>
              </w:rPr>
            </w:pPr>
            <w:r>
              <w:rPr>
                <w:rFonts w:hint="eastAsia" w:ascii="仿宋" w:hAnsi="仿宋" w:eastAsia="仿宋" w:cs="仿宋"/>
                <w:b/>
                <w:bCs/>
                <w:color w:val="222222"/>
                <w:kern w:val="0"/>
                <w:sz w:val="32"/>
                <w:szCs w:val="32"/>
              </w:rPr>
              <w:t>本年追加</w:t>
            </w:r>
          </w:p>
        </w:tc>
        <w:tc>
          <w:tcPr>
            <w:tcW w:w="237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210DC93">
            <w:pPr>
              <w:keepNext w:val="0"/>
              <w:keepLines w:val="0"/>
              <w:pageBreakBefore w:val="0"/>
              <w:widowControl/>
              <w:kinsoku/>
              <w:wordWrap/>
              <w:overflowPunct/>
              <w:topLinePunct w:val="0"/>
              <w:autoSpaceDE/>
              <w:autoSpaceDN/>
              <w:bidi w:val="0"/>
              <w:adjustRightInd/>
              <w:snapToGrid/>
              <w:spacing w:line="600" w:lineRule="exact"/>
              <w:ind w:right="0" w:rightChars="0"/>
              <w:jc w:val="center"/>
              <w:outlineLvl w:val="9"/>
              <w:rPr>
                <w:rFonts w:hint="eastAsia" w:ascii="仿宋" w:hAnsi="仿宋" w:eastAsia="仿宋" w:cs="仿宋"/>
                <w:color w:val="222222"/>
                <w:kern w:val="0"/>
                <w:sz w:val="32"/>
                <w:szCs w:val="32"/>
                <w:lang w:eastAsia="zh-CN"/>
              </w:rPr>
            </w:pPr>
            <w:r>
              <w:rPr>
                <w:rFonts w:hint="eastAsia" w:ascii="仿宋" w:hAnsi="仿宋" w:eastAsia="仿宋" w:cs="仿宋"/>
                <w:b/>
                <w:bCs/>
                <w:color w:val="222222"/>
                <w:kern w:val="0"/>
                <w:sz w:val="32"/>
                <w:szCs w:val="32"/>
              </w:rPr>
              <w:t>指标</w:t>
            </w:r>
            <w:r>
              <w:rPr>
                <w:rFonts w:hint="eastAsia" w:ascii="仿宋" w:hAnsi="仿宋" w:eastAsia="仿宋" w:cs="仿宋"/>
                <w:b/>
                <w:bCs/>
                <w:color w:val="222222"/>
                <w:kern w:val="0"/>
                <w:sz w:val="32"/>
                <w:szCs w:val="32"/>
                <w:lang w:eastAsia="zh-CN"/>
              </w:rPr>
              <w:t>执行</w:t>
            </w:r>
          </w:p>
        </w:tc>
      </w:tr>
      <w:tr w14:paraId="3C73D07C">
        <w:tblPrEx>
          <w:tblCellMar>
            <w:top w:w="0" w:type="dxa"/>
            <w:left w:w="0" w:type="dxa"/>
            <w:bottom w:w="0" w:type="dxa"/>
            <w:right w:w="0" w:type="dxa"/>
          </w:tblCellMar>
        </w:tblPrEx>
        <w:trPr>
          <w:trHeight w:val="685" w:hRule="atLeast"/>
        </w:trPr>
        <w:tc>
          <w:tcPr>
            <w:tcW w:w="39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DA3873E">
            <w:pPr>
              <w:keepNext w:val="0"/>
              <w:keepLines w:val="0"/>
              <w:pageBreakBefore w:val="0"/>
              <w:widowControl/>
              <w:kinsoku/>
              <w:wordWrap/>
              <w:overflowPunct/>
              <w:topLinePunct w:val="0"/>
              <w:autoSpaceDE/>
              <w:autoSpaceDN/>
              <w:bidi w:val="0"/>
              <w:adjustRightInd/>
              <w:snapToGrid/>
              <w:spacing w:line="600" w:lineRule="exact"/>
              <w:ind w:right="0" w:rightChars="0"/>
              <w:jc w:val="center"/>
              <w:outlineLvl w:val="9"/>
              <w:rPr>
                <w:rFonts w:hint="eastAsia" w:ascii="仿宋" w:hAnsi="仿宋" w:eastAsia="仿宋" w:cs="仿宋"/>
                <w:color w:val="222222"/>
                <w:kern w:val="0"/>
                <w:sz w:val="28"/>
                <w:szCs w:val="28"/>
              </w:rPr>
            </w:pPr>
            <w:r>
              <w:rPr>
                <w:rFonts w:hint="eastAsia" w:ascii="仿宋" w:hAnsi="仿宋" w:eastAsia="仿宋" w:cs="仿宋"/>
                <w:b/>
                <w:bCs/>
                <w:color w:val="222222"/>
                <w:kern w:val="0"/>
                <w:sz w:val="28"/>
                <w:szCs w:val="28"/>
                <w:lang w:eastAsia="zh-CN"/>
              </w:rPr>
              <w:t>按项目管理的</w:t>
            </w:r>
            <w:r>
              <w:rPr>
                <w:rFonts w:hint="eastAsia" w:ascii="仿宋" w:hAnsi="仿宋" w:eastAsia="仿宋" w:cs="仿宋"/>
                <w:b/>
                <w:bCs/>
                <w:color w:val="222222"/>
                <w:kern w:val="0"/>
                <w:sz w:val="28"/>
                <w:szCs w:val="28"/>
              </w:rPr>
              <w:t>商品和服务支出</w:t>
            </w:r>
          </w:p>
        </w:tc>
        <w:tc>
          <w:tcPr>
            <w:tcW w:w="16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52D92AD">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40" w:firstLineChars="0"/>
              <w:jc w:val="center"/>
              <w:outlineLvl w:val="9"/>
              <w:rPr>
                <w:rFonts w:hint="default" w:ascii="仿宋" w:hAnsi="仿宋" w:eastAsia="仿宋" w:cs="仿宋"/>
                <w:color w:val="222222"/>
                <w:kern w:val="0"/>
                <w:sz w:val="28"/>
                <w:szCs w:val="28"/>
                <w:lang w:val="en-US" w:eastAsia="zh-CN"/>
              </w:rPr>
            </w:pPr>
            <w:r>
              <w:rPr>
                <w:rFonts w:hint="eastAsia" w:ascii="仿宋" w:hAnsi="仿宋" w:eastAsia="仿宋" w:cs="仿宋"/>
                <w:color w:val="222222"/>
                <w:kern w:val="0"/>
                <w:sz w:val="28"/>
                <w:szCs w:val="28"/>
                <w:lang w:val="en-US" w:eastAsia="zh-CN"/>
              </w:rPr>
              <w:t>102</w:t>
            </w:r>
          </w:p>
        </w:tc>
        <w:tc>
          <w:tcPr>
            <w:tcW w:w="16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D3902C4">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40"/>
              <w:jc w:val="center"/>
              <w:outlineLvl w:val="9"/>
              <w:rPr>
                <w:rFonts w:hint="default" w:ascii="仿宋" w:hAnsi="仿宋" w:eastAsia="仿宋" w:cs="仿宋"/>
                <w:color w:val="222222"/>
                <w:kern w:val="0"/>
                <w:sz w:val="28"/>
                <w:szCs w:val="28"/>
                <w:lang w:val="en-US" w:eastAsia="zh-CN"/>
              </w:rPr>
            </w:pPr>
            <w:r>
              <w:rPr>
                <w:rFonts w:hint="eastAsia" w:ascii="仿宋" w:hAnsi="仿宋" w:eastAsia="仿宋" w:cs="仿宋"/>
                <w:color w:val="222222"/>
                <w:kern w:val="0"/>
                <w:sz w:val="28"/>
                <w:szCs w:val="28"/>
                <w:lang w:val="en-US" w:eastAsia="zh-CN"/>
              </w:rPr>
              <w:t>175.29</w:t>
            </w:r>
          </w:p>
        </w:tc>
        <w:tc>
          <w:tcPr>
            <w:tcW w:w="237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DF0423D">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40"/>
              <w:jc w:val="center"/>
              <w:outlineLvl w:val="9"/>
              <w:rPr>
                <w:rFonts w:hint="default" w:ascii="仿宋" w:hAnsi="仿宋" w:eastAsia="仿宋" w:cs="仿宋"/>
                <w:color w:val="222222"/>
                <w:kern w:val="0"/>
                <w:sz w:val="28"/>
                <w:szCs w:val="28"/>
                <w:lang w:val="en-US" w:eastAsia="zh-CN"/>
              </w:rPr>
            </w:pPr>
            <w:r>
              <w:rPr>
                <w:rFonts w:hint="eastAsia" w:ascii="仿宋" w:hAnsi="仿宋" w:eastAsia="仿宋" w:cs="仿宋"/>
                <w:color w:val="222222"/>
                <w:kern w:val="0"/>
                <w:sz w:val="28"/>
                <w:szCs w:val="28"/>
                <w:lang w:val="en-US" w:eastAsia="zh-CN"/>
              </w:rPr>
              <w:t>277.29</w:t>
            </w:r>
          </w:p>
        </w:tc>
      </w:tr>
      <w:tr w14:paraId="044FF018">
        <w:tblPrEx>
          <w:tblCellMar>
            <w:top w:w="0" w:type="dxa"/>
            <w:left w:w="0" w:type="dxa"/>
            <w:bottom w:w="0" w:type="dxa"/>
            <w:right w:w="0" w:type="dxa"/>
          </w:tblCellMar>
        </w:tblPrEx>
        <w:trPr>
          <w:trHeight w:val="525" w:hRule="atLeast"/>
        </w:trPr>
        <w:tc>
          <w:tcPr>
            <w:tcW w:w="39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C833C1F">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42" w:firstLineChars="0"/>
              <w:jc w:val="center"/>
              <w:outlineLvl w:val="9"/>
              <w:rPr>
                <w:rFonts w:hint="eastAsia" w:ascii="仿宋" w:hAnsi="仿宋" w:eastAsia="仿宋" w:cs="仿宋"/>
                <w:b/>
                <w:bCs/>
                <w:color w:val="222222"/>
                <w:kern w:val="0"/>
                <w:sz w:val="28"/>
                <w:szCs w:val="28"/>
              </w:rPr>
            </w:pPr>
            <w:r>
              <w:rPr>
                <w:rFonts w:hint="eastAsia" w:ascii="仿宋" w:hAnsi="仿宋" w:eastAsia="仿宋" w:cs="仿宋"/>
                <w:b/>
                <w:bCs/>
                <w:color w:val="222222"/>
                <w:kern w:val="0"/>
                <w:sz w:val="28"/>
                <w:szCs w:val="28"/>
              </w:rPr>
              <w:t>合 计</w:t>
            </w:r>
          </w:p>
        </w:tc>
        <w:tc>
          <w:tcPr>
            <w:tcW w:w="16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B076555">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40" w:firstLineChars="0"/>
              <w:jc w:val="center"/>
              <w:outlineLvl w:val="9"/>
              <w:rPr>
                <w:rFonts w:hint="default" w:ascii="仿宋" w:hAnsi="仿宋" w:eastAsia="仿宋" w:cs="仿宋"/>
                <w:color w:val="222222"/>
                <w:kern w:val="0"/>
                <w:sz w:val="28"/>
                <w:szCs w:val="28"/>
                <w:lang w:val="en-US" w:eastAsia="zh-CN"/>
              </w:rPr>
            </w:pPr>
            <w:r>
              <w:rPr>
                <w:rFonts w:hint="eastAsia" w:ascii="仿宋" w:hAnsi="仿宋" w:eastAsia="仿宋" w:cs="仿宋"/>
                <w:color w:val="222222"/>
                <w:kern w:val="0"/>
                <w:sz w:val="28"/>
                <w:szCs w:val="28"/>
                <w:lang w:val="en-US" w:eastAsia="zh-CN"/>
              </w:rPr>
              <w:t>102</w:t>
            </w:r>
          </w:p>
        </w:tc>
        <w:tc>
          <w:tcPr>
            <w:tcW w:w="16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2D6A913">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40" w:firstLineChars="0"/>
              <w:jc w:val="center"/>
              <w:outlineLvl w:val="9"/>
              <w:rPr>
                <w:rFonts w:hint="default" w:ascii="仿宋" w:hAnsi="仿宋" w:eastAsia="仿宋" w:cs="仿宋"/>
                <w:color w:val="222222"/>
                <w:kern w:val="0"/>
                <w:sz w:val="28"/>
                <w:szCs w:val="28"/>
                <w:lang w:val="en-US" w:eastAsia="zh-CN"/>
              </w:rPr>
            </w:pPr>
            <w:r>
              <w:rPr>
                <w:rFonts w:hint="eastAsia" w:ascii="仿宋" w:hAnsi="仿宋" w:eastAsia="仿宋" w:cs="仿宋"/>
                <w:color w:val="222222"/>
                <w:kern w:val="0"/>
                <w:sz w:val="28"/>
                <w:szCs w:val="28"/>
                <w:lang w:val="en-US" w:eastAsia="zh-CN"/>
              </w:rPr>
              <w:t>175.29</w:t>
            </w:r>
          </w:p>
        </w:tc>
        <w:tc>
          <w:tcPr>
            <w:tcW w:w="237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8A83FCB">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40" w:firstLineChars="0"/>
              <w:jc w:val="center"/>
              <w:outlineLvl w:val="9"/>
              <w:rPr>
                <w:rFonts w:hint="default" w:ascii="仿宋" w:hAnsi="仿宋" w:eastAsia="仿宋" w:cs="仿宋"/>
                <w:color w:val="222222"/>
                <w:kern w:val="0"/>
                <w:sz w:val="28"/>
                <w:szCs w:val="28"/>
                <w:lang w:val="en-US" w:eastAsia="zh-CN"/>
              </w:rPr>
            </w:pPr>
            <w:r>
              <w:rPr>
                <w:rFonts w:hint="eastAsia" w:ascii="仿宋" w:hAnsi="仿宋" w:eastAsia="仿宋" w:cs="仿宋"/>
                <w:color w:val="222222"/>
                <w:kern w:val="0"/>
                <w:sz w:val="28"/>
                <w:szCs w:val="28"/>
                <w:lang w:val="en-US" w:eastAsia="zh-CN"/>
              </w:rPr>
              <w:t>277.29</w:t>
            </w:r>
          </w:p>
        </w:tc>
      </w:tr>
    </w:tbl>
    <w:p w14:paraId="5A219202">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outlineLvl w:val="9"/>
        <w:rPr>
          <w:rFonts w:hint="eastAsia" w:ascii="楷体" w:hAnsi="楷体" w:eastAsia="楷体" w:cs="楷体"/>
          <w:color w:val="222222"/>
          <w:kern w:val="0"/>
          <w:sz w:val="32"/>
          <w:szCs w:val="32"/>
        </w:rPr>
      </w:pPr>
      <w:r>
        <w:rPr>
          <w:rFonts w:hint="eastAsia" w:ascii="楷体" w:hAnsi="楷体" w:eastAsia="楷体" w:cs="楷体"/>
          <w:color w:val="222222"/>
          <w:kern w:val="0"/>
          <w:sz w:val="32"/>
          <w:szCs w:val="32"/>
        </w:rPr>
        <w:t>（二）“三公”经费使用管理情况</w:t>
      </w:r>
    </w:p>
    <w:p w14:paraId="2DFD9E30">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outlineLvl w:val="9"/>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1. 201</w:t>
      </w:r>
      <w:r>
        <w:rPr>
          <w:rFonts w:hint="eastAsia" w:ascii="仿宋" w:hAnsi="仿宋" w:eastAsia="仿宋" w:cs="仿宋"/>
          <w:color w:val="222222"/>
          <w:kern w:val="0"/>
          <w:sz w:val="32"/>
          <w:szCs w:val="32"/>
          <w:lang w:val="en-US" w:eastAsia="zh-CN"/>
        </w:rPr>
        <w:t>9</w:t>
      </w:r>
      <w:r>
        <w:rPr>
          <w:rFonts w:hint="eastAsia" w:ascii="仿宋" w:hAnsi="仿宋" w:eastAsia="仿宋" w:cs="仿宋"/>
          <w:color w:val="222222"/>
          <w:kern w:val="0"/>
          <w:sz w:val="32"/>
          <w:szCs w:val="32"/>
        </w:rPr>
        <w:t>年“三公”经费预算情况（单位：万元）</w:t>
      </w:r>
    </w:p>
    <w:tbl>
      <w:tblPr>
        <w:tblStyle w:val="2"/>
        <w:tblW w:w="0" w:type="auto"/>
        <w:tblInd w:w="216" w:type="dxa"/>
        <w:tblLayout w:type="fixed"/>
        <w:tblCellMar>
          <w:top w:w="0" w:type="dxa"/>
          <w:left w:w="0" w:type="dxa"/>
          <w:bottom w:w="0" w:type="dxa"/>
          <w:right w:w="0" w:type="dxa"/>
        </w:tblCellMar>
      </w:tblPr>
      <w:tblGrid>
        <w:gridCol w:w="2488"/>
        <w:gridCol w:w="2173"/>
        <w:gridCol w:w="3757"/>
      </w:tblGrid>
      <w:tr w14:paraId="05F5C871">
        <w:tblPrEx>
          <w:tblCellMar>
            <w:top w:w="0" w:type="dxa"/>
            <w:left w:w="0" w:type="dxa"/>
            <w:bottom w:w="0" w:type="dxa"/>
            <w:right w:w="0" w:type="dxa"/>
          </w:tblCellMar>
        </w:tblPrEx>
        <w:trPr>
          <w:trHeight w:val="660" w:hRule="atLeast"/>
        </w:trPr>
        <w:tc>
          <w:tcPr>
            <w:tcW w:w="248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1B7121">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42"/>
              <w:jc w:val="center"/>
              <w:outlineLvl w:val="9"/>
              <w:rPr>
                <w:rFonts w:hint="eastAsia" w:ascii="仿宋" w:hAnsi="仿宋" w:eastAsia="仿宋" w:cs="仿宋"/>
                <w:color w:val="222222"/>
                <w:kern w:val="0"/>
                <w:sz w:val="32"/>
                <w:szCs w:val="32"/>
                <w:lang w:eastAsia="zh-CN"/>
              </w:rPr>
            </w:pPr>
            <w:r>
              <w:rPr>
                <w:rFonts w:hint="eastAsia" w:ascii="仿宋" w:hAnsi="仿宋" w:eastAsia="仿宋" w:cs="仿宋"/>
                <w:b/>
                <w:bCs/>
                <w:color w:val="222222"/>
                <w:kern w:val="0"/>
                <w:sz w:val="32"/>
                <w:szCs w:val="32"/>
              </w:rPr>
              <w:t>项目</w:t>
            </w:r>
            <w:r>
              <w:rPr>
                <w:rFonts w:hint="eastAsia" w:ascii="仿宋" w:hAnsi="仿宋" w:eastAsia="仿宋" w:cs="仿宋"/>
                <w:b/>
                <w:bCs/>
                <w:color w:val="222222"/>
                <w:kern w:val="0"/>
                <w:sz w:val="32"/>
                <w:szCs w:val="32"/>
                <w:lang w:eastAsia="zh-CN"/>
              </w:rPr>
              <w:t>名称</w:t>
            </w:r>
          </w:p>
        </w:tc>
        <w:tc>
          <w:tcPr>
            <w:tcW w:w="217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23E003D2">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42"/>
              <w:jc w:val="center"/>
              <w:outlineLvl w:val="9"/>
              <w:rPr>
                <w:rFonts w:hint="eastAsia" w:ascii="仿宋" w:hAnsi="仿宋" w:eastAsia="仿宋" w:cs="仿宋"/>
                <w:color w:val="222222"/>
                <w:kern w:val="0"/>
                <w:sz w:val="32"/>
                <w:szCs w:val="32"/>
                <w:lang w:eastAsia="zh-CN"/>
              </w:rPr>
            </w:pPr>
            <w:r>
              <w:rPr>
                <w:rFonts w:hint="eastAsia" w:ascii="仿宋" w:hAnsi="仿宋" w:eastAsia="仿宋" w:cs="仿宋"/>
                <w:b/>
                <w:bCs/>
                <w:color w:val="222222"/>
                <w:kern w:val="0"/>
                <w:sz w:val="32"/>
                <w:szCs w:val="32"/>
                <w:lang w:eastAsia="zh-CN"/>
              </w:rPr>
              <w:t>年初预算</w:t>
            </w:r>
          </w:p>
        </w:tc>
        <w:tc>
          <w:tcPr>
            <w:tcW w:w="3757"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4952CB0A">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42"/>
              <w:jc w:val="center"/>
              <w:outlineLvl w:val="9"/>
              <w:rPr>
                <w:rFonts w:hint="eastAsia" w:ascii="仿宋" w:hAnsi="仿宋" w:eastAsia="仿宋" w:cs="仿宋"/>
                <w:color w:val="222222"/>
                <w:kern w:val="0"/>
                <w:sz w:val="32"/>
                <w:szCs w:val="32"/>
              </w:rPr>
            </w:pPr>
            <w:r>
              <w:rPr>
                <w:rFonts w:hint="eastAsia" w:ascii="仿宋" w:hAnsi="仿宋" w:eastAsia="仿宋" w:cs="仿宋"/>
                <w:b/>
                <w:bCs/>
                <w:color w:val="222222"/>
                <w:kern w:val="0"/>
                <w:sz w:val="32"/>
                <w:szCs w:val="32"/>
                <w:lang w:eastAsia="zh-CN"/>
              </w:rPr>
              <w:t>本年</w:t>
            </w:r>
            <w:r>
              <w:rPr>
                <w:rFonts w:hint="eastAsia" w:ascii="仿宋" w:hAnsi="仿宋" w:eastAsia="仿宋" w:cs="仿宋"/>
                <w:b/>
                <w:bCs/>
                <w:color w:val="222222"/>
                <w:kern w:val="0"/>
                <w:sz w:val="32"/>
                <w:szCs w:val="32"/>
              </w:rPr>
              <w:t>支出</w:t>
            </w:r>
          </w:p>
        </w:tc>
      </w:tr>
      <w:tr w14:paraId="7AE8EA52">
        <w:tblPrEx>
          <w:tblCellMar>
            <w:top w:w="0" w:type="dxa"/>
            <w:left w:w="0" w:type="dxa"/>
            <w:bottom w:w="0" w:type="dxa"/>
            <w:right w:w="0" w:type="dxa"/>
          </w:tblCellMar>
        </w:tblPrEx>
        <w:trPr>
          <w:trHeight w:val="660" w:hRule="atLeast"/>
        </w:trPr>
        <w:tc>
          <w:tcPr>
            <w:tcW w:w="248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E84438">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42"/>
              <w:jc w:val="center"/>
              <w:textAlignment w:val="center"/>
              <w:outlineLvl w:val="9"/>
              <w:rPr>
                <w:rFonts w:hint="eastAsia" w:ascii="仿宋" w:hAnsi="仿宋" w:eastAsia="仿宋" w:cs="仿宋"/>
                <w:color w:val="222222"/>
                <w:kern w:val="0"/>
                <w:sz w:val="32"/>
                <w:szCs w:val="32"/>
              </w:rPr>
            </w:pPr>
            <w:r>
              <w:rPr>
                <w:rFonts w:hint="eastAsia" w:ascii="仿宋" w:hAnsi="仿宋" w:eastAsia="仿宋" w:cs="仿宋"/>
                <w:b/>
                <w:bCs/>
                <w:color w:val="000000"/>
                <w:kern w:val="0"/>
                <w:sz w:val="32"/>
                <w:szCs w:val="32"/>
              </w:rPr>
              <w:t>公务接待费</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CC0C11E">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40"/>
              <w:jc w:val="center"/>
              <w:outlineLvl w:val="9"/>
              <w:rPr>
                <w:rFonts w:hint="default"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100</w:t>
            </w:r>
          </w:p>
        </w:tc>
        <w:tc>
          <w:tcPr>
            <w:tcW w:w="375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985628E">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40"/>
              <w:jc w:val="center"/>
              <w:outlineLvl w:val="9"/>
              <w:rPr>
                <w:rFonts w:hint="default"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100</w:t>
            </w:r>
          </w:p>
        </w:tc>
      </w:tr>
    </w:tbl>
    <w:p w14:paraId="066DAA0F">
      <w:pPr>
        <w:snapToGrid w:val="0"/>
        <w:spacing w:line="560" w:lineRule="exact"/>
        <w:rPr>
          <w:rFonts w:hint="eastAsia" w:ascii="楷体_GB2312" w:hAnsi="华文中宋" w:eastAsia="楷体_GB2312"/>
          <w:b/>
          <w:szCs w:val="32"/>
          <w:lang w:val="en-US" w:eastAsia="zh-CN"/>
        </w:rPr>
      </w:pPr>
    </w:p>
    <w:p w14:paraId="6194B978">
      <w:pPr>
        <w:keepNext w:val="0"/>
        <w:keepLines w:val="0"/>
        <w:pageBreakBefore w:val="0"/>
        <w:widowControl/>
        <w:numPr>
          <w:ilvl w:val="0"/>
          <w:numId w:val="2"/>
        </w:numPr>
        <w:kinsoku/>
        <w:wordWrap/>
        <w:overflowPunct/>
        <w:topLinePunct w:val="0"/>
        <w:autoSpaceDE/>
        <w:autoSpaceDN/>
        <w:bidi w:val="0"/>
        <w:adjustRightInd/>
        <w:snapToGrid/>
        <w:spacing w:line="600" w:lineRule="exact"/>
        <w:ind w:left="0" w:leftChars="0" w:right="0" w:rightChars="0" w:firstLine="640"/>
        <w:outlineLvl w:val="9"/>
        <w:rPr>
          <w:rFonts w:hint="eastAsia" w:ascii="黑体" w:hAnsi="黑体" w:eastAsia="黑体" w:cs="黑体"/>
          <w:color w:val="222222"/>
          <w:kern w:val="0"/>
          <w:sz w:val="32"/>
          <w:szCs w:val="32"/>
          <w:lang w:eastAsia="zh-CN"/>
        </w:rPr>
      </w:pPr>
      <w:r>
        <w:rPr>
          <w:rFonts w:hint="eastAsia" w:ascii="黑体" w:hAnsi="黑体" w:eastAsia="黑体" w:cs="黑体"/>
          <w:color w:val="222222"/>
          <w:kern w:val="0"/>
          <w:sz w:val="32"/>
          <w:szCs w:val="32"/>
          <w:lang w:eastAsia="zh-CN"/>
        </w:rPr>
        <w:t>绩效评价指标分析</w:t>
      </w:r>
    </w:p>
    <w:p w14:paraId="5E6CBC28">
      <w:pPr>
        <w:keepNext w:val="0"/>
        <w:keepLines w:val="0"/>
        <w:pageBreakBefore w:val="0"/>
        <w:widowControl w:val="0"/>
        <w:shd w:val="solid" w:color="FFFFFF" w:fill="auto"/>
        <w:tabs>
          <w:tab w:val="left" w:pos="6720"/>
        </w:tabs>
        <w:kinsoku/>
        <w:wordWrap/>
        <w:overflowPunct/>
        <w:topLinePunct w:val="0"/>
        <w:autoSpaceDE/>
        <w:autoSpaceDN w:val="0"/>
        <w:bidi w:val="0"/>
        <w:adjustRightInd/>
        <w:snapToGrid/>
        <w:spacing w:line="240" w:lineRule="auto"/>
        <w:ind w:firstLine="640" w:firstLineChars="200"/>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（一）资金情况分析</w:t>
      </w:r>
    </w:p>
    <w:p w14:paraId="41F6E544">
      <w:pPr>
        <w:keepNext w:val="0"/>
        <w:keepLines w:val="0"/>
        <w:pageBreakBefore w:val="0"/>
        <w:widowControl w:val="0"/>
        <w:shd w:val="solid" w:color="FFFFFF" w:fill="auto"/>
        <w:tabs>
          <w:tab w:val="left" w:pos="6720"/>
        </w:tabs>
        <w:kinsoku/>
        <w:wordWrap/>
        <w:overflowPunct/>
        <w:topLinePunct w:val="0"/>
        <w:autoSpaceDE/>
        <w:autoSpaceDN w:val="0"/>
        <w:bidi w:val="0"/>
        <w:adjustRightInd/>
        <w:snapToGrid/>
        <w:spacing w:line="24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_GB2312" w:hAnsi="仿宋" w:eastAsia="仿宋_GB2312"/>
          <w:sz w:val="32"/>
          <w:szCs w:val="32"/>
          <w:lang w:val="en-US" w:eastAsia="zh-CN"/>
        </w:rPr>
        <w:t>2019年年初预算收入数为920.47万元</w:t>
      </w:r>
      <w:r>
        <w:rPr>
          <w:rFonts w:hint="eastAsia" w:ascii="仿宋" w:hAnsi="仿宋" w:eastAsia="仿宋" w:cs="仿宋"/>
          <w:sz w:val="32"/>
          <w:szCs w:val="32"/>
          <w:lang w:val="en-US" w:eastAsia="zh-CN"/>
        </w:rPr>
        <w:t>，实际下达为</w:t>
      </w:r>
      <w:r>
        <w:rPr>
          <w:rFonts w:hint="eastAsia" w:ascii="仿宋_GB2312" w:hAnsi="仿宋" w:eastAsia="仿宋_GB2312"/>
          <w:color w:val="auto"/>
          <w:sz w:val="32"/>
          <w:szCs w:val="32"/>
          <w:lang w:val="en-US" w:eastAsia="zh-CN"/>
        </w:rPr>
        <w:t>1069.84万元</w:t>
      </w:r>
      <w:r>
        <w:rPr>
          <w:rFonts w:hint="eastAsia" w:ascii="仿宋" w:hAnsi="仿宋" w:eastAsia="仿宋" w:cs="仿宋"/>
          <w:sz w:val="32"/>
          <w:szCs w:val="32"/>
          <w:lang w:val="en-US" w:eastAsia="zh-CN"/>
        </w:rPr>
        <w:t>，</w:t>
      </w:r>
      <w:r>
        <w:rPr>
          <w:rFonts w:hint="eastAsia" w:ascii="仿宋_GB2312" w:hAnsi="仿宋" w:eastAsia="仿宋_GB2312"/>
          <w:sz w:val="32"/>
          <w:szCs w:val="32"/>
          <w:lang w:val="en-US" w:eastAsia="zh-CN"/>
        </w:rPr>
        <w:t>基中基本收入为792.55万元，占总收入的74%；项目收入为277.29万元，占总收入的26%。</w:t>
      </w:r>
      <w:r>
        <w:rPr>
          <w:rFonts w:hint="eastAsia" w:ascii="仿宋_GB2312" w:hAnsi="仿宋" w:eastAsia="仿宋_GB2312"/>
          <w:color w:val="auto"/>
          <w:sz w:val="32"/>
          <w:szCs w:val="32"/>
          <w:lang w:val="en-US" w:eastAsia="zh-CN"/>
        </w:rPr>
        <w:t>本年</w:t>
      </w:r>
      <w:r>
        <w:rPr>
          <w:rFonts w:hint="eastAsia" w:ascii="仿宋_GB2312" w:hAnsi="仿宋" w:eastAsia="仿宋_GB2312"/>
          <w:color w:val="auto"/>
          <w:sz w:val="32"/>
          <w:szCs w:val="32"/>
          <w:lang w:eastAsia="zh-CN"/>
        </w:rPr>
        <w:t>支出</w:t>
      </w:r>
      <w:r>
        <w:rPr>
          <w:rFonts w:hint="eastAsia" w:ascii="仿宋_GB2312" w:hAnsi="仿宋" w:eastAsia="仿宋_GB2312"/>
          <w:color w:val="auto"/>
          <w:sz w:val="32"/>
          <w:szCs w:val="32"/>
          <w:lang w:val="en-US" w:eastAsia="zh-CN"/>
        </w:rPr>
        <w:t>本年</w:t>
      </w:r>
      <w:r>
        <w:rPr>
          <w:rFonts w:hint="eastAsia" w:ascii="仿宋_GB2312" w:hAnsi="仿宋" w:eastAsia="仿宋_GB2312"/>
          <w:color w:val="auto"/>
          <w:sz w:val="32"/>
          <w:szCs w:val="32"/>
          <w:lang w:eastAsia="zh-CN"/>
        </w:rPr>
        <w:t>支出</w:t>
      </w:r>
      <w:r>
        <w:rPr>
          <w:rFonts w:hint="eastAsia" w:ascii="仿宋_GB2312" w:hAnsi="仿宋" w:eastAsia="仿宋_GB2312"/>
          <w:color w:val="auto"/>
          <w:sz w:val="32"/>
          <w:szCs w:val="32"/>
          <w:lang w:val="en-US" w:eastAsia="zh-CN"/>
        </w:rPr>
        <w:t>1076.61万元</w:t>
      </w:r>
      <w:r>
        <w:rPr>
          <w:rFonts w:hint="eastAsia" w:ascii="仿宋" w:hAnsi="仿宋" w:eastAsia="仿宋" w:cs="仿宋"/>
          <w:sz w:val="32"/>
          <w:szCs w:val="32"/>
          <w:lang w:val="en-US" w:eastAsia="zh-CN"/>
        </w:rPr>
        <w:t>。</w:t>
      </w:r>
    </w:p>
    <w:p w14:paraId="509FAC65">
      <w:pPr>
        <w:keepNext w:val="0"/>
        <w:keepLines w:val="0"/>
        <w:pageBreakBefore w:val="0"/>
        <w:widowControl w:val="0"/>
        <w:shd w:val="solid" w:color="FFFFFF" w:fill="auto"/>
        <w:tabs>
          <w:tab w:val="left" w:pos="6720"/>
        </w:tabs>
        <w:kinsoku/>
        <w:wordWrap/>
        <w:overflowPunct/>
        <w:topLinePunct w:val="0"/>
        <w:autoSpaceDE/>
        <w:autoSpaceDN w:val="0"/>
        <w:bidi w:val="0"/>
        <w:adjustRightInd/>
        <w:snapToGrid/>
        <w:spacing w:line="240" w:lineRule="auto"/>
        <w:ind w:firstLine="640" w:firstLineChars="200"/>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（二）绩效情况分析</w:t>
      </w:r>
    </w:p>
    <w:p w14:paraId="38F58A5C">
      <w:pPr>
        <w:keepNext w:val="0"/>
        <w:keepLines w:val="0"/>
        <w:pageBreakBefore w:val="0"/>
        <w:widowControl w:val="0"/>
        <w:shd w:val="solid" w:color="FFFFFF" w:fill="auto"/>
        <w:tabs>
          <w:tab w:val="left" w:pos="6720"/>
        </w:tabs>
        <w:kinsoku/>
        <w:wordWrap/>
        <w:overflowPunct/>
        <w:topLinePunct w:val="0"/>
        <w:autoSpaceDE/>
        <w:autoSpaceDN w:val="0"/>
        <w:bidi w:val="0"/>
        <w:adjustRightInd/>
        <w:snapToGrid/>
        <w:spacing w:line="240" w:lineRule="auto"/>
        <w:ind w:firstLine="640" w:firstLineChars="200"/>
        <w:textAlignment w:val="auto"/>
        <w:outlineLvl w:val="9"/>
        <w:rPr>
          <w:rFonts w:hint="eastAsia" w:ascii="黑体" w:hAnsi="黑体" w:eastAsia="黑体" w:cs="黑体"/>
          <w:color w:val="222222"/>
          <w:kern w:val="0"/>
          <w:sz w:val="32"/>
          <w:szCs w:val="32"/>
          <w:lang w:eastAsia="zh-CN"/>
        </w:rPr>
      </w:pPr>
      <w:r>
        <w:rPr>
          <w:rFonts w:hint="eastAsia" w:ascii="仿宋" w:hAnsi="仿宋" w:eastAsia="仿宋" w:cs="仿宋"/>
          <w:sz w:val="32"/>
          <w:szCs w:val="32"/>
          <w:lang w:val="en-US" w:eastAsia="zh-CN"/>
        </w:rPr>
        <w:t>本年度预算指标每月按时下达并支出，保证部门正常运行，各项指标均达到预期绩效指标。</w:t>
      </w:r>
    </w:p>
    <w:p w14:paraId="70B8B0AF">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outlineLvl w:val="9"/>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lang w:eastAsia="zh-CN"/>
        </w:rPr>
        <w:t>六、</w:t>
      </w:r>
      <w:r>
        <w:rPr>
          <w:rFonts w:hint="eastAsia" w:ascii="黑体" w:hAnsi="黑体" w:eastAsia="黑体" w:cs="黑体"/>
          <w:color w:val="222222"/>
          <w:kern w:val="0"/>
          <w:sz w:val="32"/>
          <w:szCs w:val="32"/>
        </w:rPr>
        <w:t>部门整体支出绩效评价</w:t>
      </w:r>
    </w:p>
    <w:p w14:paraId="22DC2FA6">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outlineLvl w:val="9"/>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201</w:t>
      </w:r>
      <w:r>
        <w:rPr>
          <w:rFonts w:hint="eastAsia" w:ascii="仿宋" w:hAnsi="仿宋" w:eastAsia="仿宋" w:cs="仿宋"/>
          <w:color w:val="222222"/>
          <w:kern w:val="0"/>
          <w:sz w:val="32"/>
          <w:szCs w:val="32"/>
          <w:lang w:val="en-US" w:eastAsia="zh-CN"/>
        </w:rPr>
        <w:t>9</w:t>
      </w:r>
      <w:r>
        <w:rPr>
          <w:rFonts w:hint="eastAsia" w:ascii="仿宋" w:hAnsi="仿宋" w:eastAsia="仿宋" w:cs="仿宋"/>
          <w:color w:val="222222"/>
          <w:kern w:val="0"/>
          <w:sz w:val="32"/>
          <w:szCs w:val="32"/>
        </w:rPr>
        <w:t>年，根据年初工作规划和重点性工作，围绕</w:t>
      </w:r>
      <w:r>
        <w:rPr>
          <w:rFonts w:hint="eastAsia" w:ascii="仿宋" w:hAnsi="仿宋" w:eastAsia="仿宋" w:cs="仿宋"/>
          <w:color w:val="222222"/>
          <w:kern w:val="0"/>
          <w:sz w:val="32"/>
          <w:szCs w:val="32"/>
          <w:lang w:val="en-US" w:eastAsia="zh-CN"/>
        </w:rPr>
        <w:t>政府办公室的相关工作，以“三服务”为工作重点</w:t>
      </w:r>
      <w:r>
        <w:rPr>
          <w:rFonts w:hint="eastAsia" w:ascii="仿宋" w:hAnsi="仿宋" w:eastAsia="仿宋" w:cs="仿宋"/>
          <w:color w:val="222222"/>
          <w:kern w:val="0"/>
          <w:sz w:val="32"/>
          <w:szCs w:val="32"/>
        </w:rPr>
        <w:t>，积极履职，强化管理，较好的完成了年度工作目标。通过加强预算收支管理，不断建立健全内部管理制度，梳理内部管理流程，部门整体支出管理情况得到提升。根据201</w:t>
      </w:r>
      <w:r>
        <w:rPr>
          <w:rFonts w:hint="eastAsia" w:ascii="仿宋" w:hAnsi="仿宋" w:eastAsia="仿宋" w:cs="仿宋"/>
          <w:color w:val="222222"/>
          <w:kern w:val="0"/>
          <w:sz w:val="32"/>
          <w:szCs w:val="32"/>
          <w:lang w:val="en-US" w:eastAsia="zh-CN"/>
        </w:rPr>
        <w:t>9</w:t>
      </w:r>
      <w:r>
        <w:rPr>
          <w:rFonts w:hint="eastAsia" w:ascii="仿宋" w:hAnsi="仿宋" w:eastAsia="仿宋" w:cs="仿宋"/>
          <w:color w:val="222222"/>
          <w:kern w:val="0"/>
          <w:sz w:val="32"/>
          <w:szCs w:val="32"/>
        </w:rPr>
        <w:t>年度部门整体支出状况的概述和分析，部门整体支出绩效情况如下：</w:t>
      </w:r>
    </w:p>
    <w:p w14:paraId="22ADE2CA">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outlineLvl w:val="9"/>
        <w:rPr>
          <w:rFonts w:hint="eastAsia" w:ascii="楷体" w:hAnsi="楷体" w:eastAsia="楷体" w:cs="楷体"/>
          <w:color w:val="222222"/>
          <w:kern w:val="0"/>
          <w:sz w:val="32"/>
          <w:szCs w:val="32"/>
        </w:rPr>
      </w:pPr>
      <w:r>
        <w:rPr>
          <w:rFonts w:hint="eastAsia" w:ascii="楷体" w:hAnsi="楷体" w:eastAsia="楷体" w:cs="楷体"/>
          <w:color w:val="222222"/>
          <w:kern w:val="0"/>
          <w:sz w:val="32"/>
          <w:szCs w:val="32"/>
        </w:rPr>
        <w:t>（一）经济效益评价</w:t>
      </w:r>
    </w:p>
    <w:p w14:paraId="7660B121">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outlineLvl w:val="9"/>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1.本年预算配置控制较好。财政供养人员控制在预算编制以内，编制</w:t>
      </w:r>
      <w:r>
        <w:rPr>
          <w:rFonts w:hint="eastAsia" w:ascii="仿宋" w:hAnsi="仿宋" w:eastAsia="仿宋" w:cs="仿宋"/>
          <w:color w:val="222222"/>
          <w:kern w:val="0"/>
          <w:sz w:val="32"/>
          <w:szCs w:val="32"/>
          <w:lang w:val="en-US" w:eastAsia="zh-CN"/>
        </w:rPr>
        <w:t>45人，</w:t>
      </w:r>
      <w:r>
        <w:rPr>
          <w:rFonts w:hint="eastAsia" w:ascii="仿宋" w:hAnsi="仿宋" w:eastAsia="仿宋" w:cs="仿宋"/>
          <w:color w:val="222222"/>
          <w:kern w:val="0"/>
          <w:sz w:val="32"/>
          <w:szCs w:val="32"/>
        </w:rPr>
        <w:t>在职人员</w:t>
      </w:r>
      <w:r>
        <w:rPr>
          <w:rFonts w:hint="eastAsia" w:ascii="仿宋" w:hAnsi="仿宋" w:eastAsia="仿宋" w:cs="仿宋"/>
          <w:color w:val="222222"/>
          <w:kern w:val="0"/>
          <w:sz w:val="32"/>
          <w:szCs w:val="32"/>
          <w:lang w:val="en-US" w:eastAsia="zh-CN"/>
        </w:rPr>
        <w:t>35人</w:t>
      </w:r>
      <w:r>
        <w:rPr>
          <w:rFonts w:hint="eastAsia" w:ascii="仿宋" w:hAnsi="仿宋" w:eastAsia="仿宋" w:cs="仿宋"/>
          <w:color w:val="222222"/>
          <w:kern w:val="0"/>
          <w:sz w:val="32"/>
          <w:szCs w:val="32"/>
          <w:lang w:eastAsia="zh-CN"/>
        </w:rPr>
        <w:t>“三公”经费支出</w:t>
      </w:r>
      <w:r>
        <w:rPr>
          <w:rFonts w:hint="eastAsia" w:ascii="仿宋" w:hAnsi="仿宋" w:eastAsia="仿宋" w:cs="仿宋"/>
          <w:color w:val="222222"/>
          <w:kern w:val="0"/>
          <w:sz w:val="32"/>
          <w:szCs w:val="32"/>
          <w:lang w:val="en-US" w:eastAsia="zh-CN"/>
        </w:rPr>
        <w:t>100万元</w:t>
      </w:r>
      <w:r>
        <w:rPr>
          <w:rFonts w:hint="eastAsia" w:ascii="仿宋" w:hAnsi="仿宋" w:eastAsia="仿宋" w:cs="仿宋"/>
          <w:color w:val="222222"/>
          <w:kern w:val="0"/>
          <w:sz w:val="32"/>
          <w:szCs w:val="32"/>
        </w:rPr>
        <w:t>。</w:t>
      </w:r>
    </w:p>
    <w:p w14:paraId="22702179">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outlineLvl w:val="9"/>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2.资产管理方面，建立了资产管理制度，定期进行了盘点和资产清理，总体执行较好。</w:t>
      </w:r>
    </w:p>
    <w:p w14:paraId="236A9C32">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outlineLvl w:val="9"/>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根据部门整体支出绩效评价体系，201</w:t>
      </w:r>
      <w:r>
        <w:rPr>
          <w:rFonts w:hint="eastAsia" w:ascii="仿宋" w:hAnsi="仿宋" w:eastAsia="仿宋" w:cs="仿宋"/>
          <w:color w:val="222222"/>
          <w:kern w:val="0"/>
          <w:sz w:val="32"/>
          <w:szCs w:val="32"/>
          <w:lang w:val="en-US" w:eastAsia="zh-CN"/>
        </w:rPr>
        <w:t>9</w:t>
      </w:r>
      <w:r>
        <w:rPr>
          <w:rFonts w:hint="eastAsia" w:ascii="仿宋" w:hAnsi="仿宋" w:eastAsia="仿宋" w:cs="仿宋"/>
          <w:color w:val="222222"/>
          <w:kern w:val="0"/>
          <w:sz w:val="32"/>
          <w:szCs w:val="32"/>
        </w:rPr>
        <w:t>年度评价得分为</w:t>
      </w:r>
      <w:r>
        <w:rPr>
          <w:rFonts w:hint="eastAsia" w:ascii="仿宋" w:hAnsi="仿宋" w:eastAsia="仿宋" w:cs="仿宋"/>
          <w:color w:val="222222"/>
          <w:kern w:val="0"/>
          <w:sz w:val="32"/>
          <w:szCs w:val="32"/>
          <w:lang w:val="en-US" w:eastAsia="zh-CN"/>
        </w:rPr>
        <w:t>84</w:t>
      </w:r>
      <w:r>
        <w:rPr>
          <w:rFonts w:hint="eastAsia" w:ascii="仿宋" w:hAnsi="仿宋" w:eastAsia="仿宋" w:cs="仿宋"/>
          <w:color w:val="222222"/>
          <w:kern w:val="0"/>
          <w:sz w:val="32"/>
          <w:szCs w:val="32"/>
        </w:rPr>
        <w:t>分。</w:t>
      </w:r>
    </w:p>
    <w:p w14:paraId="27A3238F">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outlineLvl w:val="9"/>
        <w:rPr>
          <w:rFonts w:hint="eastAsia" w:ascii="楷体" w:hAnsi="楷体" w:eastAsia="楷体" w:cs="楷体"/>
          <w:color w:val="222222"/>
          <w:kern w:val="0"/>
          <w:sz w:val="32"/>
          <w:szCs w:val="32"/>
        </w:rPr>
      </w:pPr>
      <w:r>
        <w:rPr>
          <w:rFonts w:hint="eastAsia" w:ascii="楷体" w:hAnsi="楷体" w:eastAsia="楷体" w:cs="楷体"/>
          <w:color w:val="222222"/>
          <w:kern w:val="0"/>
          <w:sz w:val="32"/>
          <w:szCs w:val="32"/>
        </w:rPr>
        <w:t>（二）效率性评价和有效性评价</w:t>
      </w:r>
    </w:p>
    <w:p w14:paraId="354A7A85">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outlineLvl w:val="9"/>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预算安排的基本支出保障了</w:t>
      </w:r>
      <w:r>
        <w:rPr>
          <w:rFonts w:hint="eastAsia" w:ascii="仿宋" w:hAnsi="仿宋" w:eastAsia="仿宋" w:cs="仿宋"/>
          <w:color w:val="222222"/>
          <w:kern w:val="0"/>
          <w:sz w:val="32"/>
          <w:szCs w:val="32"/>
          <w:lang w:eastAsia="zh-CN"/>
        </w:rPr>
        <w:t>部门</w:t>
      </w:r>
      <w:r>
        <w:rPr>
          <w:rFonts w:hint="eastAsia" w:ascii="仿宋" w:hAnsi="仿宋" w:eastAsia="仿宋" w:cs="仿宋"/>
          <w:color w:val="222222"/>
          <w:kern w:val="0"/>
          <w:sz w:val="32"/>
          <w:szCs w:val="32"/>
        </w:rPr>
        <w:t>正常的工作运转，在执行上严格遵守各项财经纪律</w:t>
      </w:r>
      <w:r>
        <w:rPr>
          <w:rFonts w:hint="eastAsia" w:ascii="仿宋" w:hAnsi="仿宋" w:eastAsia="仿宋" w:cs="仿宋"/>
          <w:color w:val="222222"/>
          <w:kern w:val="0"/>
          <w:sz w:val="32"/>
          <w:szCs w:val="32"/>
          <w:lang w:eastAsia="zh-CN"/>
        </w:rPr>
        <w:t>，杜绝违纪现象发生</w:t>
      </w:r>
      <w:r>
        <w:rPr>
          <w:rFonts w:hint="eastAsia" w:ascii="仿宋" w:hAnsi="仿宋" w:eastAsia="仿宋" w:cs="仿宋"/>
          <w:color w:val="222222"/>
          <w:kern w:val="0"/>
          <w:sz w:val="32"/>
          <w:szCs w:val="32"/>
        </w:rPr>
        <w:t>。</w:t>
      </w:r>
    </w:p>
    <w:p w14:paraId="15AE37B6">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outlineLvl w:val="9"/>
        <w:rPr>
          <w:rFonts w:hint="eastAsia" w:ascii="楷体" w:hAnsi="楷体" w:eastAsia="楷体" w:cs="楷体"/>
          <w:color w:val="222222"/>
          <w:kern w:val="0"/>
          <w:sz w:val="32"/>
          <w:szCs w:val="32"/>
        </w:rPr>
      </w:pPr>
      <w:r>
        <w:rPr>
          <w:rFonts w:hint="eastAsia" w:ascii="楷体" w:hAnsi="楷体" w:eastAsia="楷体" w:cs="楷体"/>
          <w:color w:val="222222"/>
          <w:kern w:val="0"/>
          <w:sz w:val="32"/>
          <w:szCs w:val="32"/>
        </w:rPr>
        <w:t>（三）社会公众满意度评价</w:t>
      </w:r>
    </w:p>
    <w:p w14:paraId="3E20E48B">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outlineLvl w:val="9"/>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201</w:t>
      </w:r>
      <w:r>
        <w:rPr>
          <w:rFonts w:hint="eastAsia" w:ascii="仿宋" w:hAnsi="仿宋" w:eastAsia="仿宋" w:cs="仿宋"/>
          <w:color w:val="222222"/>
          <w:kern w:val="0"/>
          <w:sz w:val="32"/>
          <w:szCs w:val="32"/>
          <w:lang w:val="en-US" w:eastAsia="zh-CN"/>
        </w:rPr>
        <w:t>9</w:t>
      </w:r>
      <w:r>
        <w:rPr>
          <w:rFonts w:hint="eastAsia" w:ascii="仿宋" w:hAnsi="仿宋" w:eastAsia="仿宋" w:cs="仿宋"/>
          <w:color w:val="222222"/>
          <w:kern w:val="0"/>
          <w:sz w:val="32"/>
          <w:szCs w:val="32"/>
        </w:rPr>
        <w:t>年，全体干部职工在党委、政府的正确领导下，认真贯彻落实市委市政府</w:t>
      </w:r>
      <w:r>
        <w:rPr>
          <w:rFonts w:hint="eastAsia" w:ascii="仿宋" w:hAnsi="仿宋" w:eastAsia="仿宋" w:cs="仿宋"/>
          <w:color w:val="222222"/>
          <w:kern w:val="0"/>
          <w:sz w:val="32"/>
          <w:szCs w:val="32"/>
          <w:lang w:eastAsia="zh-CN"/>
        </w:rPr>
        <w:t>及卫计委</w:t>
      </w:r>
      <w:r>
        <w:rPr>
          <w:rFonts w:hint="eastAsia" w:ascii="仿宋" w:hAnsi="仿宋" w:eastAsia="仿宋" w:cs="仿宋"/>
          <w:color w:val="222222"/>
          <w:kern w:val="0"/>
          <w:sz w:val="32"/>
          <w:szCs w:val="32"/>
        </w:rPr>
        <w:t>决策部署，勤奋工作，满意度为100%。</w:t>
      </w:r>
    </w:p>
    <w:p w14:paraId="22551BD7">
      <w:pPr>
        <w:keepNext w:val="0"/>
        <w:keepLines w:val="0"/>
        <w:pageBreakBefore w:val="0"/>
        <w:widowControl/>
        <w:numPr>
          <w:ilvl w:val="0"/>
          <w:numId w:val="3"/>
        </w:numPr>
        <w:kinsoku/>
        <w:wordWrap/>
        <w:overflowPunct/>
        <w:topLinePunct w:val="0"/>
        <w:autoSpaceDE/>
        <w:autoSpaceDN/>
        <w:bidi w:val="0"/>
        <w:adjustRightInd/>
        <w:snapToGrid/>
        <w:spacing w:line="600" w:lineRule="exact"/>
        <w:ind w:left="0" w:leftChars="0" w:right="0" w:rightChars="0" w:firstLine="640"/>
        <w:outlineLvl w:val="9"/>
        <w:rPr>
          <w:rFonts w:hint="eastAsia" w:ascii="楷体" w:hAnsi="楷体" w:eastAsia="楷体" w:cs="楷体"/>
          <w:color w:val="222222"/>
          <w:kern w:val="0"/>
          <w:sz w:val="32"/>
          <w:szCs w:val="32"/>
          <w:lang w:val="en-US" w:eastAsia="zh-CN"/>
        </w:rPr>
      </w:pPr>
      <w:r>
        <w:rPr>
          <w:rFonts w:hint="eastAsia" w:ascii="楷体" w:hAnsi="楷体" w:eastAsia="楷体" w:cs="楷体"/>
          <w:color w:val="222222"/>
          <w:kern w:val="0"/>
          <w:sz w:val="32"/>
          <w:szCs w:val="32"/>
          <w:lang w:val="en-US" w:eastAsia="zh-CN"/>
        </w:rPr>
        <w:t>公开</w:t>
      </w:r>
    </w:p>
    <w:p w14:paraId="08DA16E9">
      <w:pPr>
        <w:keepNext w:val="0"/>
        <w:keepLines w:val="0"/>
        <w:pageBreakBefore w:val="0"/>
        <w:widowControl/>
        <w:numPr>
          <w:ilvl w:val="0"/>
          <w:numId w:val="0"/>
        </w:numPr>
        <w:kinsoku/>
        <w:wordWrap/>
        <w:overflowPunct/>
        <w:topLinePunct w:val="0"/>
        <w:autoSpaceDE/>
        <w:autoSpaceDN/>
        <w:bidi w:val="0"/>
        <w:adjustRightInd/>
        <w:snapToGrid/>
        <w:spacing w:line="600" w:lineRule="exact"/>
        <w:ind w:left="640" w:leftChars="0" w:right="0" w:rightChars="0"/>
        <w:outlineLvl w:val="9"/>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按照财政部门要求，做好年初预算、年末决算工作，并</w:t>
      </w:r>
    </w:p>
    <w:p w14:paraId="4865B539">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outlineLvl w:val="9"/>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及时在政府网站公开。</w:t>
      </w:r>
    </w:p>
    <w:p w14:paraId="39706C31">
      <w:pPr>
        <w:keepNext w:val="0"/>
        <w:keepLines w:val="0"/>
        <w:pageBreakBefore w:val="0"/>
        <w:widowControl/>
        <w:numPr>
          <w:ilvl w:val="0"/>
          <w:numId w:val="0"/>
        </w:numPr>
        <w:kinsoku/>
        <w:wordWrap/>
        <w:overflowPunct/>
        <w:topLinePunct w:val="0"/>
        <w:autoSpaceDE/>
        <w:autoSpaceDN/>
        <w:bidi w:val="0"/>
        <w:adjustRightInd/>
        <w:snapToGrid/>
        <w:spacing w:line="600" w:lineRule="exact"/>
        <w:ind w:left="640" w:leftChars="0" w:right="0" w:rightChars="0"/>
        <w:outlineLvl w:val="9"/>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lang w:eastAsia="zh-CN"/>
        </w:rPr>
        <w:t>七、</w:t>
      </w:r>
      <w:r>
        <w:rPr>
          <w:rFonts w:hint="eastAsia" w:ascii="黑体" w:hAnsi="黑体" w:eastAsia="黑体" w:cs="黑体"/>
          <w:color w:val="222222"/>
          <w:kern w:val="0"/>
          <w:sz w:val="32"/>
          <w:szCs w:val="32"/>
        </w:rPr>
        <w:t>存在的主要问题。</w:t>
      </w:r>
    </w:p>
    <w:p w14:paraId="682441E0">
      <w:pPr>
        <w:keepNext w:val="0"/>
        <w:keepLines w:val="0"/>
        <w:pageBreakBefore w:val="0"/>
        <w:widowControl/>
        <w:numPr>
          <w:ilvl w:val="0"/>
          <w:numId w:val="0"/>
        </w:numPr>
        <w:kinsoku/>
        <w:wordWrap/>
        <w:overflowPunct/>
        <w:topLinePunct w:val="0"/>
        <w:autoSpaceDE/>
        <w:autoSpaceDN/>
        <w:bidi w:val="0"/>
        <w:adjustRightInd/>
        <w:snapToGrid/>
        <w:spacing w:line="600" w:lineRule="exact"/>
        <w:ind w:left="640" w:leftChars="0" w:right="0" w:rightChars="0"/>
        <w:outlineLvl w:val="9"/>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办公费支出有所超编，预算编制的合理性有待提高。</w:t>
      </w:r>
    </w:p>
    <w:p w14:paraId="725677AB">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outlineLvl w:val="9"/>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lang w:eastAsia="zh-CN"/>
        </w:rPr>
        <w:t>八</w:t>
      </w:r>
      <w:r>
        <w:rPr>
          <w:rFonts w:hint="eastAsia" w:ascii="黑体" w:hAnsi="黑体" w:eastAsia="黑体" w:cs="黑体"/>
          <w:color w:val="222222"/>
          <w:kern w:val="0"/>
          <w:sz w:val="32"/>
          <w:szCs w:val="32"/>
        </w:rPr>
        <w:t>、</w:t>
      </w:r>
      <w:r>
        <w:rPr>
          <w:rFonts w:hint="eastAsia" w:ascii="黑体" w:hAnsi="黑体" w:eastAsia="黑体" w:cs="黑体"/>
          <w:color w:val="222222"/>
          <w:kern w:val="0"/>
          <w:sz w:val="32"/>
          <w:szCs w:val="32"/>
          <w:lang w:eastAsia="zh-CN"/>
        </w:rPr>
        <w:t>下一步工作</w:t>
      </w:r>
      <w:r>
        <w:rPr>
          <w:rFonts w:hint="eastAsia" w:ascii="黑体" w:hAnsi="黑体" w:eastAsia="黑体" w:cs="黑体"/>
          <w:color w:val="222222"/>
          <w:kern w:val="0"/>
          <w:sz w:val="32"/>
          <w:szCs w:val="32"/>
        </w:rPr>
        <w:t>建议</w:t>
      </w:r>
    </w:p>
    <w:p w14:paraId="511EDEA0">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outlineLvl w:val="9"/>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针对上述存在的问题及整体支出管理工作的需要，拟实施的改进措施如下：</w:t>
      </w:r>
    </w:p>
    <w:p w14:paraId="0484DC71">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outlineLvl w:val="9"/>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lang w:eastAsia="zh-CN"/>
        </w:rPr>
        <w:t>（一）</w:t>
      </w:r>
      <w:r>
        <w:rPr>
          <w:rFonts w:hint="eastAsia" w:ascii="仿宋" w:hAnsi="仿宋" w:eastAsia="仿宋" w:cs="仿宋"/>
          <w:color w:val="222222"/>
          <w:kern w:val="0"/>
          <w:sz w:val="32"/>
          <w:szCs w:val="32"/>
        </w:rPr>
        <w:t>细化预算编制工作，认真做好预算的编制。进一步加强内部预算管理意识，严格按照预算编制的相关制度和要求进行预算编制。</w:t>
      </w:r>
    </w:p>
    <w:p w14:paraId="081613B0">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outlineLvl w:val="9"/>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lang w:eastAsia="zh-CN"/>
        </w:rPr>
        <w:t>（二）</w:t>
      </w:r>
      <w:r>
        <w:rPr>
          <w:rFonts w:hint="eastAsia" w:ascii="仿宋" w:hAnsi="仿宋" w:eastAsia="仿宋" w:cs="仿宋"/>
          <w:color w:val="222222"/>
          <w:kern w:val="0"/>
          <w:sz w:val="32"/>
          <w:szCs w:val="32"/>
        </w:rPr>
        <w:t>加强财务管理，严格财务审核。在费用报账支付时，按照预算规定的费用项目和用途进行资金使用审核、列报支付、财务核算，杜绝超支现象的发生。</w:t>
      </w:r>
    </w:p>
    <w:p w14:paraId="5EED4C10">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outlineLvl w:val="9"/>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lang w:eastAsia="zh-CN"/>
        </w:rPr>
        <w:t>（三）</w:t>
      </w:r>
      <w:r>
        <w:rPr>
          <w:rFonts w:hint="eastAsia" w:ascii="仿宋" w:hAnsi="仿宋" w:eastAsia="仿宋" w:cs="仿宋"/>
          <w:color w:val="222222"/>
          <w:kern w:val="0"/>
          <w:sz w:val="32"/>
          <w:szCs w:val="32"/>
        </w:rPr>
        <w:t>持续抓好“三公”经费控制管理。严格控制“三公”经费的规模和比例，合理压缩“三公”经费支出。</w:t>
      </w:r>
    </w:p>
    <w:p w14:paraId="0630F1C8">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outlineLvl w:val="9"/>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lang w:eastAsia="zh-CN"/>
        </w:rPr>
        <w:t>（四）</w:t>
      </w:r>
      <w:r>
        <w:rPr>
          <w:rFonts w:hint="eastAsia" w:ascii="仿宋" w:hAnsi="仿宋" w:eastAsia="仿宋" w:cs="仿宋"/>
          <w:color w:val="222222"/>
          <w:kern w:val="0"/>
          <w:sz w:val="32"/>
          <w:szCs w:val="32"/>
        </w:rPr>
        <w:t>加强项目开展进度的跟踪，开展项目绩效评价，确保项目绩效目标的完成。</w:t>
      </w:r>
    </w:p>
    <w:p w14:paraId="396E60C2">
      <w:pPr>
        <w:keepNext w:val="0"/>
        <w:keepLines w:val="0"/>
        <w:pageBreakBefore w:val="0"/>
        <w:widowControl w:val="0"/>
        <w:shd w:val="solid" w:color="FFFFFF" w:fill="auto"/>
        <w:tabs>
          <w:tab w:val="left" w:pos="6720"/>
        </w:tabs>
        <w:kinsoku/>
        <w:wordWrap/>
        <w:overflowPunct/>
        <w:topLinePunct w:val="0"/>
        <w:autoSpaceDE/>
        <w:autoSpaceDN w:val="0"/>
        <w:bidi w:val="0"/>
        <w:adjustRightInd/>
        <w:snapToGrid/>
        <w:spacing w:line="240" w:lineRule="auto"/>
        <w:ind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九、绩效评价结果应用建议</w:t>
      </w:r>
    </w:p>
    <w:p w14:paraId="34D71D91">
      <w:pPr>
        <w:widowControl/>
        <w:numPr>
          <w:ilvl w:val="0"/>
          <w:numId w:val="0"/>
        </w:numPr>
        <w:shd w:val="clear" w:color="auto" w:fill="FFFFFF"/>
        <w:ind w:firstLine="640" w:firstLineChars="200"/>
        <w:rPr>
          <w:rFonts w:hint="eastAsia" w:ascii="仿宋" w:hAnsi="仿宋" w:eastAsia="仿宋" w:cs="仿宋"/>
          <w:color w:val="222222"/>
          <w:kern w:val="0"/>
          <w:sz w:val="32"/>
          <w:szCs w:val="32"/>
          <w:lang w:eastAsia="zh-CN"/>
        </w:rPr>
      </w:pPr>
      <w:r>
        <w:rPr>
          <w:rFonts w:hint="eastAsia" w:ascii="仿宋_GB2312" w:hAnsi="仿宋_GB2312" w:eastAsia="仿宋_GB2312" w:cs="仿宋_GB2312"/>
          <w:sz w:val="32"/>
          <w:szCs w:val="32"/>
        </w:rPr>
        <w:t>通过绩效自评，使</w:t>
      </w:r>
      <w:r>
        <w:rPr>
          <w:rFonts w:hint="eastAsia" w:ascii="仿宋_GB2312" w:hAnsi="仿宋_GB2312" w:eastAsia="仿宋_GB2312" w:cs="仿宋_GB2312"/>
          <w:sz w:val="32"/>
          <w:szCs w:val="32"/>
          <w:lang w:eastAsia="zh-CN"/>
        </w:rPr>
        <w:t>部门预、决算</w:t>
      </w:r>
      <w:r>
        <w:rPr>
          <w:rFonts w:hint="eastAsia" w:ascii="仿宋_GB2312" w:hAnsi="仿宋_GB2312" w:eastAsia="仿宋_GB2312" w:cs="仿宋_GB2312"/>
          <w:sz w:val="32"/>
          <w:szCs w:val="32"/>
        </w:rPr>
        <w:t>工作更具规范化、标准化和制度化，</w:t>
      </w:r>
      <w:r>
        <w:rPr>
          <w:rFonts w:hint="eastAsia" w:ascii="仿宋" w:hAnsi="仿宋" w:eastAsia="仿宋" w:cs="仿宋"/>
          <w:color w:val="222222"/>
          <w:kern w:val="0"/>
          <w:sz w:val="32"/>
          <w:szCs w:val="32"/>
        </w:rPr>
        <w:t>保障了正常的工作运转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绩效自评结果拟在市</w:t>
      </w:r>
      <w:r>
        <w:rPr>
          <w:rFonts w:hint="eastAsia" w:ascii="仿宋_GB2312" w:hAnsi="仿宋_GB2312" w:eastAsia="仿宋_GB2312" w:cs="仿宋_GB2312"/>
          <w:sz w:val="32"/>
          <w:szCs w:val="32"/>
          <w:lang w:eastAsia="zh-CN"/>
        </w:rPr>
        <w:t>政府网站</w:t>
      </w:r>
      <w:r>
        <w:rPr>
          <w:rFonts w:hint="eastAsia" w:ascii="仿宋_GB2312" w:hAnsi="仿宋_GB2312" w:eastAsia="仿宋_GB2312" w:cs="仿宋_GB2312"/>
          <w:sz w:val="32"/>
          <w:szCs w:val="32"/>
        </w:rPr>
        <w:t>公开，接受广大</w:t>
      </w:r>
      <w:r>
        <w:rPr>
          <w:rFonts w:hint="eastAsia" w:ascii="仿宋_GB2312" w:hAnsi="仿宋_GB2312" w:eastAsia="仿宋_GB2312" w:cs="仿宋_GB2312"/>
          <w:sz w:val="32"/>
          <w:szCs w:val="32"/>
          <w:lang w:eastAsia="zh-CN"/>
        </w:rPr>
        <w:t>群众</w:t>
      </w:r>
      <w:r>
        <w:rPr>
          <w:rFonts w:hint="eastAsia" w:ascii="仿宋_GB2312" w:hAnsi="仿宋_GB2312" w:eastAsia="仿宋_GB2312" w:cs="仿宋_GB2312"/>
          <w:sz w:val="32"/>
          <w:szCs w:val="32"/>
        </w:rPr>
        <w:t>和社会各界的监督。</w:t>
      </w:r>
    </w:p>
    <w:p w14:paraId="369A491C">
      <w:pPr>
        <w:keepNext w:val="0"/>
        <w:keepLines w:val="0"/>
        <w:pageBreakBefore w:val="0"/>
        <w:widowControl/>
        <w:numPr>
          <w:ilvl w:val="0"/>
          <w:numId w:val="0"/>
        </w:numPr>
        <w:kinsoku/>
        <w:wordWrap/>
        <w:overflowPunct/>
        <w:topLinePunct w:val="0"/>
        <w:autoSpaceDE/>
        <w:autoSpaceDN/>
        <w:bidi w:val="0"/>
        <w:adjustRightInd/>
        <w:snapToGrid/>
        <w:spacing w:line="600" w:lineRule="exact"/>
        <w:ind w:left="640" w:leftChars="0" w:right="0" w:rightChars="0"/>
        <w:outlineLvl w:val="9"/>
        <w:rPr>
          <w:rFonts w:hint="eastAsia" w:ascii="黑体" w:hAnsi="黑体" w:eastAsia="黑体" w:cs="黑体"/>
          <w:color w:val="222222"/>
          <w:kern w:val="0"/>
          <w:sz w:val="32"/>
          <w:szCs w:val="32"/>
          <w:lang w:val="en-US" w:eastAsia="zh-CN"/>
        </w:rPr>
      </w:pPr>
      <w:r>
        <w:rPr>
          <w:rFonts w:hint="eastAsia" w:ascii="黑体" w:hAnsi="黑体" w:eastAsia="黑体" w:cs="黑体"/>
          <w:color w:val="222222"/>
          <w:kern w:val="0"/>
          <w:sz w:val="32"/>
          <w:szCs w:val="32"/>
          <w:lang w:val="en-US" w:eastAsia="zh-CN"/>
        </w:rPr>
        <w:t>十、其他需要说明的问题</w:t>
      </w:r>
    </w:p>
    <w:p w14:paraId="3F6AD71D">
      <w:pPr>
        <w:keepNext w:val="0"/>
        <w:keepLines w:val="0"/>
        <w:pageBreakBefore w:val="0"/>
        <w:widowControl/>
        <w:numPr>
          <w:ilvl w:val="0"/>
          <w:numId w:val="0"/>
        </w:numPr>
        <w:kinsoku/>
        <w:wordWrap/>
        <w:overflowPunct/>
        <w:topLinePunct w:val="0"/>
        <w:autoSpaceDE/>
        <w:autoSpaceDN/>
        <w:bidi w:val="0"/>
        <w:adjustRightInd/>
        <w:snapToGrid/>
        <w:spacing w:line="600" w:lineRule="exact"/>
        <w:ind w:left="640" w:leftChars="0" w:right="0" w:rightChars="0"/>
        <w:outlineLvl w:val="9"/>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严格执行财经纪律，没有其他需要说明的问题。</w:t>
      </w:r>
    </w:p>
    <w:p w14:paraId="573A106E">
      <w:pPr>
        <w:snapToGrid w:val="0"/>
        <w:spacing w:line="560" w:lineRule="exact"/>
        <w:jc w:val="center"/>
        <w:rPr>
          <w:rFonts w:hint="eastAsia" w:ascii="黑体" w:hAnsi="华文中宋" w:eastAsia="黑体"/>
          <w:b/>
          <w:szCs w:val="32"/>
        </w:rPr>
      </w:pPr>
    </w:p>
    <w:p w14:paraId="47D1331B">
      <w:pPr>
        <w:spacing w:line="560" w:lineRule="exact"/>
        <w:ind w:firstLine="420" w:firstLineChars="200"/>
        <w:rPr>
          <w:rFonts w:ascii="仿宋_GB2312"/>
          <w:szCs w:val="32"/>
        </w:rPr>
      </w:pPr>
    </w:p>
    <w:p w14:paraId="4E075B52">
      <w:pPr>
        <w:rPr>
          <w:rFonts w:hint="eastAsia"/>
        </w:rPr>
      </w:pPr>
    </w:p>
    <w:p w14:paraId="361E4FA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90F486"/>
    <w:multiLevelType w:val="singleLevel"/>
    <w:tmpl w:val="B190F486"/>
    <w:lvl w:ilvl="0" w:tentative="0">
      <w:start w:val="5"/>
      <w:numFmt w:val="chineseCounting"/>
      <w:suff w:val="nothing"/>
      <w:lvlText w:val="%1、"/>
      <w:lvlJc w:val="left"/>
      <w:rPr>
        <w:rFonts w:hint="eastAsia"/>
      </w:rPr>
    </w:lvl>
  </w:abstractNum>
  <w:abstractNum w:abstractNumId="1">
    <w:nsid w:val="EA585600"/>
    <w:multiLevelType w:val="singleLevel"/>
    <w:tmpl w:val="EA585600"/>
    <w:lvl w:ilvl="0" w:tentative="0">
      <w:start w:val="4"/>
      <w:numFmt w:val="chineseCounting"/>
      <w:suff w:val="nothing"/>
      <w:lvlText w:val="(%1）"/>
      <w:lvlJc w:val="left"/>
      <w:rPr>
        <w:rFonts w:hint="eastAsia"/>
      </w:rPr>
    </w:lvl>
  </w:abstractNum>
  <w:abstractNum w:abstractNumId="2">
    <w:nsid w:val="07ED70BA"/>
    <w:multiLevelType w:val="singleLevel"/>
    <w:tmpl w:val="07ED70BA"/>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A4079"/>
    <w:rsid w:val="01A3196F"/>
    <w:rsid w:val="030F02B7"/>
    <w:rsid w:val="33223185"/>
    <w:rsid w:val="3D5A4079"/>
    <w:rsid w:val="65E14F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2719</Words>
  <Characters>2855</Characters>
  <Lines>0</Lines>
  <Paragraphs>0</Paragraphs>
  <TotalTime>13</TotalTime>
  <ScaleCrop>false</ScaleCrop>
  <LinksUpToDate>false</LinksUpToDate>
  <CharactersWithSpaces>2866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2020-07-30T08:10:00Z</dcterms:created>
  <dc:creator>  Acme。</dc:creator>
  <cp:lastModifiedBy>歪脖小阿琳</cp:lastModifiedBy>
  <dcterms:modified xsi:type="dcterms:W3CDTF">2025-01-20T02:54:44Z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eyJoZGlkIjoiZDc1OGViZGE4Njk3OWQ0OGE4OGFlOWRkZTgyNzQxYjYiLCJ1c2VySWQiOiIyMzU0NDcyNzQifQ==</vt:lpwstr>
  </property>
  <property fmtid="{D5CDD505-2E9C-101B-9397-08002B2CF9AE}" pid="4" name="ICV">
    <vt:lpwstr>8015CDA9CBD347B8B63D2BB274CBA773_12</vt:lpwstr>
  </property>
</Properties>
</file>